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E1" w14:textId="505A424F" w:rsidR="002F3EF6" w:rsidRPr="006720DB" w:rsidRDefault="000E62D3" w:rsidP="00F1756A">
      <w:pPr>
        <w:spacing w:after="0" w:line="276" w:lineRule="auto"/>
        <w:jc w:val="center"/>
        <w:rPr>
          <w:rFonts w:ascii="Century Gothic" w:hAnsi="Century Gothic"/>
          <w:b/>
          <w:bCs/>
        </w:rPr>
      </w:pPr>
      <w:r w:rsidRPr="006720DB">
        <w:rPr>
          <w:rFonts w:ascii="Century Gothic" w:hAnsi="Century Gothic"/>
          <w:b/>
          <w:bCs/>
        </w:rPr>
        <w:t xml:space="preserve">Municipio </w:t>
      </w:r>
      <w:r w:rsidR="002D0CA9" w:rsidRPr="006720DB">
        <w:rPr>
          <w:rFonts w:ascii="Century Gothic" w:hAnsi="Century Gothic"/>
          <w:b/>
          <w:bCs/>
        </w:rPr>
        <w:t>de</w:t>
      </w:r>
      <w:r w:rsidR="00630AD6" w:rsidRPr="006720DB">
        <w:rPr>
          <w:rFonts w:ascii="Century Gothic" w:hAnsi="Century Gothic"/>
          <w:b/>
          <w:bCs/>
        </w:rPr>
        <w:t xml:space="preserve"> </w:t>
      </w:r>
      <w:r w:rsidR="0070298D">
        <w:rPr>
          <w:rFonts w:ascii="Century Gothic" w:hAnsi="Century Gothic"/>
          <w:b/>
          <w:bCs/>
        </w:rPr>
        <w:t>San Juan del Río</w:t>
      </w:r>
      <w:r w:rsidR="003D3608">
        <w:rPr>
          <w:rFonts w:ascii="Century Gothic" w:hAnsi="Century Gothic"/>
          <w:b/>
          <w:bCs/>
        </w:rPr>
        <w:t>, Estado de Querétaro</w:t>
      </w:r>
    </w:p>
    <w:p w14:paraId="60D42829" w14:textId="6D563E2C" w:rsidR="000B2EA4" w:rsidRPr="00EC737C" w:rsidRDefault="000E62D3" w:rsidP="00F1756A">
      <w:pPr>
        <w:spacing w:line="276" w:lineRule="auto"/>
        <w:jc w:val="center"/>
        <w:rPr>
          <w:rFonts w:ascii="Century Gothic" w:hAnsi="Century Gothic"/>
          <w:b/>
          <w:bCs/>
        </w:rPr>
      </w:pPr>
      <w:r w:rsidRPr="00EC737C">
        <w:rPr>
          <w:rFonts w:ascii="Century Gothic" w:hAnsi="Century Gothic"/>
          <w:b/>
          <w:bCs/>
        </w:rPr>
        <w:t>Programa Anual de Evaluación</w:t>
      </w:r>
      <w:r w:rsidR="00B14EC1" w:rsidRPr="00EC737C">
        <w:rPr>
          <w:rFonts w:ascii="Century Gothic" w:hAnsi="Century Gothic"/>
          <w:b/>
          <w:bCs/>
        </w:rPr>
        <w:t xml:space="preserve"> (PAE)</w:t>
      </w:r>
      <w:r w:rsidRPr="00EC737C">
        <w:rPr>
          <w:rFonts w:ascii="Century Gothic" w:hAnsi="Century Gothic"/>
          <w:b/>
          <w:bCs/>
        </w:rPr>
        <w:t xml:space="preserve"> para el ejercicio fiscal 202</w:t>
      </w:r>
      <w:r w:rsidR="00C631E4">
        <w:rPr>
          <w:rFonts w:ascii="Century Gothic" w:hAnsi="Century Gothic"/>
          <w:b/>
          <w:bCs/>
        </w:rPr>
        <w:t>5</w:t>
      </w:r>
    </w:p>
    <w:p w14:paraId="10E2EE91" w14:textId="3451CA8D" w:rsidR="009B3535" w:rsidRDefault="009B3535" w:rsidP="00F1756A">
      <w:pPr>
        <w:spacing w:line="276" w:lineRule="auto"/>
        <w:jc w:val="both"/>
        <w:rPr>
          <w:rFonts w:ascii="Century Gothic" w:hAnsi="Century Gothic"/>
          <w:b/>
          <w:bCs/>
        </w:rPr>
      </w:pPr>
      <w:r w:rsidRPr="00EC737C">
        <w:rPr>
          <w:rFonts w:ascii="Century Gothic" w:hAnsi="Century Gothic"/>
          <w:b/>
          <w:bCs/>
        </w:rPr>
        <w:t xml:space="preserve">Con fundamento en </w:t>
      </w:r>
      <w:r w:rsidR="00B05582" w:rsidRPr="00EC737C">
        <w:rPr>
          <w:rFonts w:ascii="Century Gothic" w:hAnsi="Century Gothic"/>
          <w:b/>
          <w:bCs/>
        </w:rPr>
        <w:t>el</w:t>
      </w:r>
      <w:r w:rsidRPr="00EC737C">
        <w:rPr>
          <w:rFonts w:ascii="Century Gothic" w:hAnsi="Century Gothic"/>
          <w:b/>
          <w:bCs/>
        </w:rPr>
        <w:t xml:space="preserve"> </w:t>
      </w:r>
      <w:r w:rsidR="00293775" w:rsidRPr="00EC737C">
        <w:rPr>
          <w:rFonts w:ascii="Century Gothic" w:hAnsi="Century Gothic"/>
          <w:b/>
          <w:bCs/>
        </w:rPr>
        <w:t xml:space="preserve">artículo </w:t>
      </w:r>
      <w:r w:rsidRPr="00EC737C">
        <w:rPr>
          <w:rFonts w:ascii="Century Gothic" w:hAnsi="Century Gothic"/>
          <w:b/>
          <w:bCs/>
        </w:rPr>
        <w:t xml:space="preserve">134 de la Constitución Política </w:t>
      </w:r>
      <w:r w:rsidR="0031603D">
        <w:rPr>
          <w:rFonts w:ascii="Century Gothic" w:hAnsi="Century Gothic"/>
          <w:b/>
          <w:bCs/>
        </w:rPr>
        <w:t>de los Estados Unidos Mexicanos</w:t>
      </w:r>
      <w:r w:rsidR="004D0A36" w:rsidRPr="00EC737C">
        <w:rPr>
          <w:rFonts w:ascii="Century Gothic" w:hAnsi="Century Gothic"/>
          <w:b/>
          <w:bCs/>
        </w:rPr>
        <w:t xml:space="preserve">; </w:t>
      </w:r>
      <w:r w:rsidR="003F673F">
        <w:rPr>
          <w:rFonts w:ascii="Century Gothic" w:hAnsi="Century Gothic"/>
          <w:b/>
          <w:bCs/>
        </w:rPr>
        <w:t xml:space="preserve">54 y </w:t>
      </w:r>
      <w:r w:rsidR="008D40B7" w:rsidRPr="00EC737C">
        <w:rPr>
          <w:rFonts w:ascii="Century Gothic" w:hAnsi="Century Gothic"/>
          <w:b/>
          <w:bCs/>
        </w:rPr>
        <w:t xml:space="preserve">79 de la Ley General de Contabilidad Gubernamental; </w:t>
      </w:r>
      <w:r w:rsidR="00822475">
        <w:rPr>
          <w:rFonts w:ascii="Century Gothic" w:hAnsi="Century Gothic"/>
          <w:b/>
          <w:bCs/>
        </w:rPr>
        <w:t xml:space="preserve">artículo </w:t>
      </w:r>
      <w:r w:rsidR="003F673F">
        <w:rPr>
          <w:rFonts w:ascii="Century Gothic" w:hAnsi="Century Gothic"/>
          <w:b/>
          <w:bCs/>
        </w:rPr>
        <w:t>49</w:t>
      </w:r>
      <w:r w:rsidR="003F673F" w:rsidRPr="006720DB">
        <w:rPr>
          <w:rFonts w:ascii="Century Gothic" w:hAnsi="Century Gothic"/>
          <w:b/>
          <w:bCs/>
        </w:rPr>
        <w:t xml:space="preserve"> fracción V de la Ley de Coordinación Fiscal; </w:t>
      </w:r>
      <w:r w:rsidR="00822475">
        <w:rPr>
          <w:rFonts w:ascii="Century Gothic" w:hAnsi="Century Gothic"/>
          <w:b/>
          <w:bCs/>
        </w:rPr>
        <w:t xml:space="preserve">artículos </w:t>
      </w:r>
      <w:r w:rsidR="003F673F" w:rsidRPr="006720DB">
        <w:rPr>
          <w:rFonts w:ascii="Century Gothic" w:hAnsi="Century Gothic"/>
          <w:b/>
          <w:bCs/>
        </w:rPr>
        <w:t>85 fracción I y II y 110 fracción IV d</w:t>
      </w:r>
      <w:r w:rsidR="003F673F" w:rsidRPr="002E7AEE">
        <w:rPr>
          <w:rFonts w:ascii="Century Gothic" w:hAnsi="Century Gothic"/>
          <w:b/>
          <w:bCs/>
        </w:rPr>
        <w:t>e la Ley Federal de Presupuesto y Responsabilidad Hacendaria; artículo 6 fracción VIII del Presupuesto de Egresos de la Federación para el ejercicio fiscal 202</w:t>
      </w:r>
      <w:r w:rsidR="002E7AEE" w:rsidRPr="002E7AEE">
        <w:rPr>
          <w:rFonts w:ascii="Century Gothic" w:hAnsi="Century Gothic"/>
          <w:b/>
          <w:bCs/>
        </w:rPr>
        <w:t>5</w:t>
      </w:r>
      <w:r w:rsidR="003F673F">
        <w:rPr>
          <w:rFonts w:ascii="Century Gothic" w:hAnsi="Century Gothic"/>
          <w:b/>
          <w:bCs/>
        </w:rPr>
        <w:t xml:space="preserve">; </w:t>
      </w:r>
      <w:r w:rsidR="0031603D" w:rsidRPr="00EC737C">
        <w:rPr>
          <w:rFonts w:ascii="Century Gothic" w:hAnsi="Century Gothic"/>
          <w:b/>
          <w:bCs/>
        </w:rPr>
        <w:t>artículo 15 de la Ley de Planeación del Estado de Querétaro</w:t>
      </w:r>
      <w:r w:rsidR="0031603D">
        <w:rPr>
          <w:rFonts w:ascii="Century Gothic" w:hAnsi="Century Gothic"/>
          <w:b/>
          <w:bCs/>
        </w:rPr>
        <w:t xml:space="preserve">; </w:t>
      </w:r>
      <w:r w:rsidR="00FC5750" w:rsidRPr="00EC737C">
        <w:rPr>
          <w:rFonts w:ascii="Century Gothic" w:hAnsi="Century Gothic"/>
          <w:b/>
          <w:bCs/>
        </w:rPr>
        <w:t>artículo</w:t>
      </w:r>
      <w:r w:rsidR="002D544D">
        <w:rPr>
          <w:rFonts w:ascii="Century Gothic" w:hAnsi="Century Gothic"/>
          <w:b/>
          <w:bCs/>
        </w:rPr>
        <w:t>s</w:t>
      </w:r>
      <w:r w:rsidR="009B5017" w:rsidRPr="00EC737C">
        <w:rPr>
          <w:rFonts w:ascii="Century Gothic" w:hAnsi="Century Gothic"/>
          <w:b/>
          <w:bCs/>
        </w:rPr>
        <w:t xml:space="preserve"> </w:t>
      </w:r>
      <w:r w:rsidR="002D544D">
        <w:rPr>
          <w:rFonts w:ascii="Century Gothic" w:hAnsi="Century Gothic"/>
          <w:b/>
          <w:bCs/>
        </w:rPr>
        <w:t>57, 95,</w:t>
      </w:r>
      <w:r w:rsidR="00FC5750" w:rsidRPr="00EC737C">
        <w:rPr>
          <w:rFonts w:ascii="Century Gothic" w:hAnsi="Century Gothic"/>
          <w:b/>
          <w:bCs/>
        </w:rPr>
        <w:t xml:space="preserve"> 96</w:t>
      </w:r>
      <w:r w:rsidR="002D544D">
        <w:rPr>
          <w:rFonts w:ascii="Century Gothic" w:hAnsi="Century Gothic"/>
          <w:b/>
          <w:bCs/>
        </w:rPr>
        <w:t xml:space="preserve"> y 99</w:t>
      </w:r>
      <w:r w:rsidR="00FC5750" w:rsidRPr="00EC737C">
        <w:rPr>
          <w:rFonts w:ascii="Century Gothic" w:hAnsi="Century Gothic"/>
          <w:b/>
          <w:bCs/>
        </w:rPr>
        <w:t xml:space="preserve"> de la Ley para el Manejo de los Recursos</w:t>
      </w:r>
      <w:r w:rsidR="00FC5750" w:rsidRPr="006720DB">
        <w:rPr>
          <w:rFonts w:ascii="Century Gothic" w:hAnsi="Century Gothic"/>
          <w:b/>
          <w:bCs/>
        </w:rPr>
        <w:t xml:space="preserve"> P</w:t>
      </w:r>
      <w:r w:rsidR="00595821">
        <w:rPr>
          <w:rFonts w:ascii="Century Gothic" w:hAnsi="Century Gothic"/>
          <w:b/>
          <w:bCs/>
        </w:rPr>
        <w:t>úblicos del Estado de Querétaro</w:t>
      </w:r>
      <w:r w:rsidRPr="006720DB">
        <w:rPr>
          <w:rFonts w:ascii="Century Gothic" w:hAnsi="Century Gothic"/>
          <w:b/>
          <w:bCs/>
        </w:rPr>
        <w:t xml:space="preserve">; </w:t>
      </w:r>
      <w:r w:rsidR="00822475">
        <w:rPr>
          <w:rFonts w:ascii="Century Gothic" w:hAnsi="Century Gothic"/>
          <w:b/>
          <w:bCs/>
        </w:rPr>
        <w:t xml:space="preserve">artículo </w:t>
      </w:r>
      <w:r w:rsidR="00822475" w:rsidRPr="00822475">
        <w:rPr>
          <w:rFonts w:ascii="Century Gothic" w:hAnsi="Century Gothic"/>
          <w:b/>
          <w:bCs/>
        </w:rPr>
        <w:t>66 fracción XXXIX de la Ley de Transparencia y Accesos a la Información Pública del Estado de Querétaro; artículo</w:t>
      </w:r>
      <w:r w:rsidR="00394896">
        <w:rPr>
          <w:rFonts w:ascii="Century Gothic" w:hAnsi="Century Gothic"/>
          <w:b/>
          <w:bCs/>
        </w:rPr>
        <w:t xml:space="preserve"> 12 y</w:t>
      </w:r>
      <w:r w:rsidR="00822475" w:rsidRPr="00822475">
        <w:rPr>
          <w:rFonts w:ascii="Century Gothic" w:hAnsi="Century Gothic"/>
          <w:b/>
          <w:bCs/>
        </w:rPr>
        <w:t xml:space="preserve"> 14 fracción V y XIX del Reglamento de Responsabilidades Administrativas del Municipio de San Juan del Río, Querétaro, y; lo dispuesto en el Manual General de Organización del Municipio de San Juan del Río</w:t>
      </w:r>
      <w:r w:rsidR="00822475">
        <w:rPr>
          <w:rFonts w:ascii="Century Gothic" w:hAnsi="Century Gothic"/>
          <w:b/>
          <w:bCs/>
        </w:rPr>
        <w:t xml:space="preserve">, </w:t>
      </w:r>
      <w:r w:rsidRPr="006720DB">
        <w:rPr>
          <w:rFonts w:ascii="Century Gothic" w:hAnsi="Century Gothic"/>
          <w:b/>
          <w:bCs/>
        </w:rPr>
        <w:t xml:space="preserve">se emite el Programa Anual de Evaluación </w:t>
      </w:r>
      <w:r w:rsidR="00AB66BB" w:rsidRPr="006720DB">
        <w:rPr>
          <w:rFonts w:ascii="Century Gothic" w:hAnsi="Century Gothic"/>
          <w:b/>
          <w:bCs/>
        </w:rPr>
        <w:t xml:space="preserve">del Municipio de </w:t>
      </w:r>
      <w:r w:rsidR="00F53601">
        <w:rPr>
          <w:rFonts w:ascii="Century Gothic" w:hAnsi="Century Gothic"/>
          <w:b/>
          <w:bCs/>
        </w:rPr>
        <w:t xml:space="preserve">San Juan del Río </w:t>
      </w:r>
      <w:r w:rsidRPr="006720DB">
        <w:rPr>
          <w:rFonts w:ascii="Century Gothic" w:hAnsi="Century Gothic"/>
          <w:b/>
          <w:bCs/>
        </w:rPr>
        <w:t>para el Ejercicio Fiscal 202</w:t>
      </w:r>
      <w:r w:rsidR="00A16D11">
        <w:rPr>
          <w:rFonts w:ascii="Century Gothic" w:hAnsi="Century Gothic"/>
          <w:b/>
          <w:bCs/>
        </w:rPr>
        <w:t>5</w:t>
      </w:r>
      <w:r w:rsidRPr="006720DB">
        <w:rPr>
          <w:rFonts w:ascii="Century Gothic" w:hAnsi="Century Gothic"/>
          <w:b/>
          <w:bCs/>
        </w:rPr>
        <w:t>.</w:t>
      </w:r>
    </w:p>
    <w:p w14:paraId="7116353C" w14:textId="77777777" w:rsidR="00E24A67" w:rsidRPr="006720DB" w:rsidRDefault="00E24A67" w:rsidP="00F1756A">
      <w:pPr>
        <w:spacing w:line="276" w:lineRule="auto"/>
        <w:jc w:val="center"/>
        <w:rPr>
          <w:rFonts w:ascii="Century Gothic" w:hAnsi="Century Gothic"/>
          <w:b/>
          <w:bCs/>
        </w:rPr>
      </w:pPr>
      <w:r w:rsidRPr="006720DB">
        <w:rPr>
          <w:rFonts w:ascii="Century Gothic" w:hAnsi="Century Gothic"/>
          <w:b/>
          <w:bCs/>
        </w:rPr>
        <w:t>Considerandos</w:t>
      </w:r>
    </w:p>
    <w:p w14:paraId="2178A0F1" w14:textId="7872304A" w:rsidR="008B633B" w:rsidRPr="002E4DC4" w:rsidRDefault="002E4DC4" w:rsidP="00F1756A">
      <w:pPr>
        <w:pStyle w:val="Prrafodelista"/>
        <w:numPr>
          <w:ilvl w:val="0"/>
          <w:numId w:val="3"/>
        </w:numPr>
        <w:spacing w:line="276" w:lineRule="auto"/>
        <w:contextualSpacing w:val="0"/>
        <w:jc w:val="both"/>
        <w:rPr>
          <w:rFonts w:ascii="Century Gothic" w:hAnsi="Century Gothic"/>
        </w:rPr>
      </w:pPr>
      <w:r>
        <w:rPr>
          <w:rFonts w:ascii="Century Gothic" w:hAnsi="Century Gothic"/>
        </w:rPr>
        <w:t>Que e</w:t>
      </w:r>
      <w:r w:rsidR="00E2303E" w:rsidRPr="006720DB">
        <w:rPr>
          <w:rFonts w:ascii="Century Gothic" w:hAnsi="Century Gothic"/>
        </w:rPr>
        <w:t>l artículo 134 de la Constitución Política de los Estados Unidos Mexicanos señala que los recursos económicos de que dispongan los municipios serán administrados bajo los principios de eficiencia, eficacia, economía, transparencia y honradez</w:t>
      </w:r>
      <w:r w:rsidR="00E31CD9" w:rsidRPr="006720DB">
        <w:rPr>
          <w:rFonts w:ascii="Century Gothic" w:hAnsi="Century Gothic"/>
        </w:rPr>
        <w:t xml:space="preserve"> para satisfacer los objetivos a los que estén destinados</w:t>
      </w:r>
      <w:r w:rsidR="00E2303E" w:rsidRPr="006720DB">
        <w:rPr>
          <w:rFonts w:ascii="Century Gothic" w:hAnsi="Century Gothic"/>
        </w:rPr>
        <w:t>.</w:t>
      </w:r>
      <w:r w:rsidR="00EC04DD" w:rsidRPr="006720DB">
        <w:rPr>
          <w:rFonts w:ascii="Century Gothic" w:hAnsi="Century Gothic"/>
        </w:rPr>
        <w:t xml:space="preserve"> Así mismo menciona, </w:t>
      </w:r>
      <w:r w:rsidR="00085A96" w:rsidRPr="006720DB">
        <w:rPr>
          <w:rFonts w:ascii="Century Gothic" w:hAnsi="Century Gothic"/>
        </w:rPr>
        <w:t xml:space="preserve">que se deberán realizar evaluaciones, con el fin de verificar que la asignación de los recursos se realice en términos de los </w:t>
      </w:r>
      <w:r>
        <w:rPr>
          <w:rFonts w:ascii="Century Gothic" w:hAnsi="Century Gothic"/>
        </w:rPr>
        <w:t>principios mencionados;</w:t>
      </w:r>
    </w:p>
    <w:p w14:paraId="6460B51F" w14:textId="66529886" w:rsidR="002F76F3" w:rsidRPr="000A00C1" w:rsidRDefault="002E4DC4" w:rsidP="00F1756A">
      <w:pPr>
        <w:pStyle w:val="Prrafodelista"/>
        <w:numPr>
          <w:ilvl w:val="0"/>
          <w:numId w:val="3"/>
        </w:numPr>
        <w:spacing w:line="276" w:lineRule="auto"/>
        <w:contextualSpacing w:val="0"/>
        <w:jc w:val="both"/>
        <w:rPr>
          <w:rFonts w:ascii="Century Gothic" w:hAnsi="Century Gothic"/>
        </w:rPr>
      </w:pPr>
      <w:r w:rsidRPr="000A00C1">
        <w:rPr>
          <w:rFonts w:ascii="Century Gothic" w:hAnsi="Century Gothic"/>
        </w:rPr>
        <w:t>Que, e</w:t>
      </w:r>
      <w:r w:rsidR="00F770D3" w:rsidRPr="000A00C1">
        <w:rPr>
          <w:rFonts w:ascii="Century Gothic" w:hAnsi="Century Gothic"/>
        </w:rPr>
        <w:t>n el caso específico de los recursos federales transferidos al municipio, por concepto de aportacione</w:t>
      </w:r>
      <w:r w:rsidR="00EB052B" w:rsidRPr="000A00C1">
        <w:rPr>
          <w:rFonts w:ascii="Century Gothic" w:hAnsi="Century Gothic"/>
        </w:rPr>
        <w:t>s</w:t>
      </w:r>
      <w:r w:rsidR="00F770D3" w:rsidRPr="000A00C1">
        <w:rPr>
          <w:rFonts w:ascii="Century Gothic" w:hAnsi="Century Gothic"/>
        </w:rPr>
        <w:t>, la Ley de Coordinación Fiscal y la Ley Federal de Presupuesto y Responsabilidad Hacendaria m</w:t>
      </w:r>
      <w:r w:rsidR="009C4877" w:rsidRPr="000A00C1">
        <w:rPr>
          <w:rFonts w:ascii="Century Gothic" w:hAnsi="Century Gothic"/>
        </w:rPr>
        <w:t>andatan</w:t>
      </w:r>
      <w:r w:rsidR="00F770D3" w:rsidRPr="000A00C1">
        <w:rPr>
          <w:rFonts w:ascii="Century Gothic" w:hAnsi="Century Gothic"/>
        </w:rPr>
        <w:t xml:space="preserve"> que </w:t>
      </w:r>
      <w:r w:rsidR="00E37EB4" w:rsidRPr="000A00C1">
        <w:rPr>
          <w:rFonts w:ascii="Century Gothic" w:hAnsi="Century Gothic"/>
        </w:rPr>
        <w:t>el ejercicio de los recursos estará</w:t>
      </w:r>
      <w:r w:rsidR="00F770D3" w:rsidRPr="000A00C1">
        <w:rPr>
          <w:rFonts w:ascii="Century Gothic" w:hAnsi="Century Gothic"/>
        </w:rPr>
        <w:t xml:space="preserve"> sujetos a </w:t>
      </w:r>
      <w:r w:rsidR="009F5173" w:rsidRPr="000A00C1">
        <w:rPr>
          <w:rFonts w:ascii="Century Gothic" w:hAnsi="Century Gothic"/>
        </w:rPr>
        <w:t>las evaluaciones de desempeño</w:t>
      </w:r>
      <w:r w:rsidR="00124FBD" w:rsidRPr="000A00C1">
        <w:rPr>
          <w:rFonts w:ascii="Century Gothic" w:hAnsi="Century Gothic"/>
        </w:rPr>
        <w:t xml:space="preserve"> y que dichos resultados deberán ser enviados</w:t>
      </w:r>
      <w:r w:rsidR="008E03C3" w:rsidRPr="000A00C1">
        <w:rPr>
          <w:rFonts w:ascii="Century Gothic" w:hAnsi="Century Gothic"/>
        </w:rPr>
        <w:t xml:space="preserve"> a las S</w:t>
      </w:r>
      <w:r w:rsidR="00774274" w:rsidRPr="000A00C1">
        <w:rPr>
          <w:rFonts w:ascii="Century Gothic" w:hAnsi="Century Gothic"/>
        </w:rPr>
        <w:t xml:space="preserve">ecretaría de Hacienda y </w:t>
      </w:r>
      <w:r w:rsidR="001D6049" w:rsidRPr="000A00C1">
        <w:rPr>
          <w:rFonts w:ascii="Century Gothic" w:hAnsi="Century Gothic"/>
        </w:rPr>
        <w:t>C</w:t>
      </w:r>
      <w:r w:rsidR="0055534C" w:rsidRPr="000A00C1">
        <w:rPr>
          <w:rFonts w:ascii="Century Gothic" w:hAnsi="Century Gothic"/>
        </w:rPr>
        <w:t>rédito</w:t>
      </w:r>
      <w:r w:rsidR="00774274" w:rsidRPr="000A00C1">
        <w:rPr>
          <w:rFonts w:ascii="Century Gothic" w:hAnsi="Century Gothic"/>
        </w:rPr>
        <w:t xml:space="preserve"> Públic</w:t>
      </w:r>
      <w:r w:rsidR="0055534C" w:rsidRPr="000A00C1">
        <w:rPr>
          <w:rFonts w:ascii="Century Gothic" w:hAnsi="Century Gothic"/>
        </w:rPr>
        <w:t>o</w:t>
      </w:r>
      <w:r w:rsidR="000A00C1">
        <w:rPr>
          <w:rFonts w:ascii="Century Gothic" w:hAnsi="Century Gothic"/>
        </w:rPr>
        <w:t>;</w:t>
      </w:r>
    </w:p>
    <w:p w14:paraId="41E31182" w14:textId="0864DAB8" w:rsidR="000A00C1" w:rsidRDefault="002E4DC4" w:rsidP="00F1756A">
      <w:pPr>
        <w:pStyle w:val="Prrafodelista"/>
        <w:numPr>
          <w:ilvl w:val="0"/>
          <w:numId w:val="3"/>
        </w:numPr>
        <w:spacing w:line="276" w:lineRule="auto"/>
        <w:contextualSpacing w:val="0"/>
        <w:jc w:val="both"/>
        <w:rPr>
          <w:rFonts w:ascii="Century Gothic" w:hAnsi="Century Gothic"/>
        </w:rPr>
      </w:pPr>
      <w:r>
        <w:rPr>
          <w:rFonts w:ascii="Century Gothic" w:hAnsi="Century Gothic"/>
        </w:rPr>
        <w:t>Que, a</w:t>
      </w:r>
      <w:r w:rsidR="00E31CD9" w:rsidRPr="006720DB">
        <w:rPr>
          <w:rFonts w:ascii="Century Gothic" w:hAnsi="Century Gothic"/>
        </w:rPr>
        <w:t>sí mismo, la Ley General de Contabilidad Gubernamental,</w:t>
      </w:r>
      <w:r w:rsidR="009F5173" w:rsidRPr="006720DB">
        <w:rPr>
          <w:rFonts w:ascii="Century Gothic" w:hAnsi="Century Gothic"/>
        </w:rPr>
        <w:t xml:space="preserve"> mandata que los resultados de las evaluaciones</w:t>
      </w:r>
      <w:r w:rsidR="00C803D6" w:rsidRPr="006720DB">
        <w:rPr>
          <w:rFonts w:ascii="Century Gothic" w:hAnsi="Century Gothic"/>
        </w:rPr>
        <w:t xml:space="preserve"> deberán</w:t>
      </w:r>
      <w:r w:rsidR="00115BA8" w:rsidRPr="006720DB">
        <w:rPr>
          <w:rFonts w:ascii="Century Gothic" w:hAnsi="Century Gothic"/>
        </w:rPr>
        <w:t xml:space="preserve"> formar parte de la cuenta pública</w:t>
      </w:r>
      <w:r w:rsidR="00C803D6" w:rsidRPr="006720DB">
        <w:rPr>
          <w:rFonts w:ascii="Century Gothic" w:hAnsi="Century Gothic"/>
        </w:rPr>
        <w:t xml:space="preserve"> y</w:t>
      </w:r>
      <w:r w:rsidR="00115BA8" w:rsidRPr="006720DB">
        <w:rPr>
          <w:rFonts w:ascii="Century Gothic" w:hAnsi="Century Gothic"/>
        </w:rPr>
        <w:t xml:space="preserve"> </w:t>
      </w:r>
      <w:r w:rsidR="00C803D6" w:rsidRPr="006720DB">
        <w:rPr>
          <w:rFonts w:ascii="Century Gothic" w:hAnsi="Century Gothic"/>
        </w:rPr>
        <w:t>de la información financiera para la elaboración del presupuesto</w:t>
      </w:r>
      <w:r w:rsidR="00EE0B67" w:rsidRPr="006720DB">
        <w:rPr>
          <w:rFonts w:ascii="Century Gothic" w:hAnsi="Century Gothic"/>
        </w:rPr>
        <w:t xml:space="preserve"> correspondiente</w:t>
      </w:r>
      <w:r w:rsidR="000A00C1">
        <w:rPr>
          <w:rFonts w:ascii="Century Gothic" w:hAnsi="Century Gothic"/>
        </w:rPr>
        <w:t>;</w:t>
      </w:r>
    </w:p>
    <w:p w14:paraId="2DD4D787" w14:textId="71A34F14" w:rsidR="001709FC" w:rsidRDefault="001709FC" w:rsidP="00F1756A">
      <w:pPr>
        <w:pStyle w:val="Prrafodelista"/>
        <w:numPr>
          <w:ilvl w:val="0"/>
          <w:numId w:val="3"/>
        </w:numPr>
        <w:spacing w:line="276" w:lineRule="auto"/>
        <w:contextualSpacing w:val="0"/>
        <w:jc w:val="both"/>
        <w:rPr>
          <w:rFonts w:ascii="Century Gothic" w:hAnsi="Century Gothic"/>
        </w:rPr>
      </w:pPr>
      <w:r>
        <w:rPr>
          <w:rFonts w:ascii="Century Gothic" w:hAnsi="Century Gothic"/>
        </w:rPr>
        <w:t>Que c</w:t>
      </w:r>
      <w:r w:rsidRPr="006720DB">
        <w:rPr>
          <w:rFonts w:ascii="Century Gothic" w:hAnsi="Century Gothic"/>
        </w:rPr>
        <w:t>on independencia de la fuente de financiamiento con la que se costeen los programas presupuestarios, el artículo 79 de la Ley General de Contabilidad Gubernamental y el artículo 95 y 96 de la Ley para el Manejo de los Recursos Públicos del Estado de Querétaro</w:t>
      </w:r>
      <w:r>
        <w:rPr>
          <w:rFonts w:ascii="Century Gothic" w:hAnsi="Century Gothic"/>
        </w:rPr>
        <w:t>,</w:t>
      </w:r>
      <w:r w:rsidRPr="006720DB">
        <w:rPr>
          <w:rFonts w:ascii="Century Gothic" w:hAnsi="Century Gothic"/>
        </w:rPr>
        <w:t xml:space="preserve"> mandatan que anualmente, se definirá un programa anual de evaluación, en el que se especifiquen los programas </w:t>
      </w:r>
      <w:r>
        <w:rPr>
          <w:rFonts w:ascii="Century Gothic" w:hAnsi="Century Gothic"/>
        </w:rPr>
        <w:t>a evaluar;</w:t>
      </w:r>
    </w:p>
    <w:p w14:paraId="6FA411A1" w14:textId="39535CD0" w:rsidR="001709FC" w:rsidRPr="002E4DC4" w:rsidRDefault="001709FC" w:rsidP="00F1756A">
      <w:pPr>
        <w:pStyle w:val="Prrafodelista"/>
        <w:numPr>
          <w:ilvl w:val="0"/>
          <w:numId w:val="3"/>
        </w:numPr>
        <w:spacing w:line="276" w:lineRule="auto"/>
        <w:contextualSpacing w:val="0"/>
        <w:jc w:val="both"/>
        <w:rPr>
          <w:rFonts w:ascii="Century Gothic" w:hAnsi="Century Gothic"/>
        </w:rPr>
      </w:pPr>
      <w:r w:rsidRPr="004561A5">
        <w:rPr>
          <w:rFonts w:ascii="Century Gothic" w:hAnsi="Century Gothic"/>
        </w:rPr>
        <w:lastRenderedPageBreak/>
        <w:t>Que el artículo 15 de la Ley</w:t>
      </w:r>
      <w:r>
        <w:rPr>
          <w:rFonts w:ascii="Century Gothic" w:hAnsi="Century Gothic"/>
        </w:rPr>
        <w:t xml:space="preserve"> de Planeación del Estado de Querétaro menciona que s</w:t>
      </w:r>
      <w:r w:rsidRPr="008B633B">
        <w:rPr>
          <w:rFonts w:ascii="Century Gothic" w:hAnsi="Century Gothic"/>
        </w:rPr>
        <w:t>e entenderá como planeación municipal, al proceso por el cual se formularán, instrumentarán y evaluarán el Plan Municipal de Desarrollo y los programas que de éste se deriven</w:t>
      </w:r>
      <w:r w:rsidR="00A30681">
        <w:rPr>
          <w:rFonts w:ascii="Century Gothic" w:hAnsi="Century Gothic"/>
        </w:rPr>
        <w:t>;</w:t>
      </w:r>
    </w:p>
    <w:p w14:paraId="29D98C3B" w14:textId="77777777" w:rsidR="001709FC" w:rsidRPr="000A00C1" w:rsidRDefault="000A00C1" w:rsidP="00F1756A">
      <w:pPr>
        <w:pStyle w:val="Prrafodelista"/>
        <w:numPr>
          <w:ilvl w:val="0"/>
          <w:numId w:val="3"/>
        </w:numPr>
        <w:spacing w:line="276" w:lineRule="auto"/>
        <w:contextualSpacing w:val="0"/>
        <w:jc w:val="both"/>
        <w:rPr>
          <w:rFonts w:ascii="Century Gothic" w:hAnsi="Century Gothic"/>
        </w:rPr>
      </w:pPr>
      <w:r w:rsidRPr="006720DB">
        <w:rPr>
          <w:rFonts w:ascii="Century Gothic" w:hAnsi="Century Gothic"/>
        </w:rPr>
        <w:t xml:space="preserve"> </w:t>
      </w:r>
      <w:r w:rsidR="001709FC" w:rsidRPr="000A00C1">
        <w:rPr>
          <w:rFonts w:ascii="Century Gothic" w:hAnsi="Century Gothic"/>
        </w:rPr>
        <w:t>Que, en cuanto a los recursos de gestión, el artículo 57 y 95 de la Ley para el Manejo de los Recursos Públicos del Estado de Querétaro, mandata que el ejercicio de estos, realizado a través de los programas, serán sujetos de evaluación con el fin de propiciar que la asignación de dichos recursos se administre con eficiencia, eficacia, económica, transparencia y honradez, para satisfacer los objetivos a los que estén dispuestos</w:t>
      </w:r>
      <w:r w:rsidR="001709FC">
        <w:rPr>
          <w:rFonts w:ascii="Century Gothic" w:hAnsi="Century Gothic"/>
        </w:rPr>
        <w:t>;</w:t>
      </w:r>
    </w:p>
    <w:p w14:paraId="155B39F9" w14:textId="77777777" w:rsidR="00DF3478" w:rsidRDefault="001709FC" w:rsidP="00F1756A">
      <w:pPr>
        <w:pStyle w:val="Prrafodelista"/>
        <w:numPr>
          <w:ilvl w:val="0"/>
          <w:numId w:val="3"/>
        </w:numPr>
        <w:spacing w:line="276" w:lineRule="auto"/>
        <w:contextualSpacing w:val="0"/>
        <w:jc w:val="both"/>
        <w:rPr>
          <w:rFonts w:ascii="Century Gothic" w:hAnsi="Century Gothic"/>
        </w:rPr>
      </w:pPr>
      <w:r>
        <w:rPr>
          <w:rFonts w:ascii="Century Gothic" w:hAnsi="Century Gothic"/>
        </w:rPr>
        <w:t xml:space="preserve">Que </w:t>
      </w:r>
      <w:r w:rsidR="00650BC8">
        <w:rPr>
          <w:rFonts w:ascii="Century Gothic" w:hAnsi="Century Gothic"/>
        </w:rPr>
        <w:t>conforme a los</w:t>
      </w:r>
      <w:r w:rsidR="009B457E">
        <w:rPr>
          <w:rFonts w:ascii="Century Gothic" w:hAnsi="Century Gothic"/>
        </w:rPr>
        <w:t xml:space="preserve"> artículo</w:t>
      </w:r>
      <w:r w:rsidR="00650BC8">
        <w:rPr>
          <w:rFonts w:ascii="Century Gothic" w:hAnsi="Century Gothic"/>
        </w:rPr>
        <w:t>s</w:t>
      </w:r>
      <w:r w:rsidR="009B457E">
        <w:rPr>
          <w:rFonts w:ascii="Century Gothic" w:hAnsi="Century Gothic"/>
        </w:rPr>
        <w:t xml:space="preserve"> 16 </w:t>
      </w:r>
      <w:r w:rsidR="00650BC8">
        <w:rPr>
          <w:rFonts w:ascii="Century Gothic" w:hAnsi="Century Gothic"/>
        </w:rPr>
        <w:t xml:space="preserve">y 19 </w:t>
      </w:r>
      <w:r w:rsidR="009B457E">
        <w:rPr>
          <w:rFonts w:ascii="Century Gothic" w:hAnsi="Century Gothic"/>
        </w:rPr>
        <w:t xml:space="preserve">de </w:t>
      </w:r>
      <w:r>
        <w:rPr>
          <w:rFonts w:ascii="Century Gothic" w:hAnsi="Century Gothic"/>
        </w:rPr>
        <w:t xml:space="preserve">la </w:t>
      </w:r>
      <w:r w:rsidRPr="001709FC">
        <w:rPr>
          <w:rFonts w:ascii="Century Gothic" w:hAnsi="Century Gothic"/>
        </w:rPr>
        <w:t>Ley de Fiscalización Superior y Rendición de Cuentas del Estado de Querétaro</w:t>
      </w:r>
      <w:r w:rsidR="00650BC8">
        <w:rPr>
          <w:rFonts w:ascii="Century Gothic" w:hAnsi="Century Gothic"/>
        </w:rPr>
        <w:t xml:space="preserve">, el municipio tiene el deber de evaluar los resultados de la gestión financiera en conformidad por lo dispuesto por el CONAC y las normativas aplicables; </w:t>
      </w:r>
    </w:p>
    <w:p w14:paraId="60BE0944" w14:textId="16805459" w:rsidR="00020D93" w:rsidRPr="006720DB" w:rsidRDefault="00DF3478" w:rsidP="00F1756A">
      <w:pPr>
        <w:pStyle w:val="Prrafodelista"/>
        <w:numPr>
          <w:ilvl w:val="0"/>
          <w:numId w:val="3"/>
        </w:numPr>
        <w:spacing w:line="276" w:lineRule="auto"/>
        <w:contextualSpacing w:val="0"/>
        <w:jc w:val="both"/>
        <w:rPr>
          <w:rFonts w:ascii="Century Gothic" w:hAnsi="Century Gothic"/>
        </w:rPr>
      </w:pPr>
      <w:r>
        <w:rPr>
          <w:rFonts w:ascii="Century Gothic" w:hAnsi="Century Gothic"/>
        </w:rPr>
        <w:t>Que de acuerdo a lo dispuesto en el artículo 12</w:t>
      </w:r>
      <w:r w:rsidR="001A5E86">
        <w:rPr>
          <w:rFonts w:ascii="Century Gothic" w:hAnsi="Century Gothic"/>
        </w:rPr>
        <w:t xml:space="preserve"> y 14</w:t>
      </w:r>
      <w:r>
        <w:rPr>
          <w:rFonts w:ascii="Century Gothic" w:hAnsi="Century Gothic"/>
        </w:rPr>
        <w:t xml:space="preserve"> del Reglamento de Responsabilidades Administrativas del Municipio de San Juan del Río, el Órgano Interno de Control evaluará el resultado del ejercicio de los recursos de los fondos federales, estatales y municipales; </w:t>
      </w:r>
      <w:r w:rsidR="00650BC8">
        <w:rPr>
          <w:rFonts w:ascii="Century Gothic" w:hAnsi="Century Gothic"/>
        </w:rPr>
        <w:t>y</w:t>
      </w:r>
    </w:p>
    <w:p w14:paraId="0D4DF748" w14:textId="0F67D4DF" w:rsidR="00B823C5" w:rsidRPr="006720DB" w:rsidRDefault="00650BC8" w:rsidP="00F1756A">
      <w:pPr>
        <w:pStyle w:val="Prrafodelista"/>
        <w:numPr>
          <w:ilvl w:val="0"/>
          <w:numId w:val="3"/>
        </w:numPr>
        <w:spacing w:line="276" w:lineRule="auto"/>
        <w:contextualSpacing w:val="0"/>
        <w:jc w:val="both"/>
        <w:rPr>
          <w:rFonts w:ascii="Century Gothic" w:hAnsi="Century Gothic"/>
        </w:rPr>
      </w:pPr>
      <w:r>
        <w:rPr>
          <w:rFonts w:ascii="Century Gothic" w:hAnsi="Century Gothic"/>
        </w:rPr>
        <w:t>Que, d</w:t>
      </w:r>
      <w:r w:rsidR="00C803D6" w:rsidRPr="006720DB">
        <w:rPr>
          <w:rFonts w:ascii="Century Gothic" w:hAnsi="Century Gothic"/>
        </w:rPr>
        <w:t xml:space="preserve">erivado de lo anterior, y con el </w:t>
      </w:r>
      <w:r w:rsidR="00B27B73" w:rsidRPr="006720DB">
        <w:rPr>
          <w:rFonts w:ascii="Century Gothic" w:hAnsi="Century Gothic"/>
        </w:rPr>
        <w:t>objetivo</w:t>
      </w:r>
      <w:r w:rsidR="001007E9" w:rsidRPr="006720DB">
        <w:rPr>
          <w:rFonts w:ascii="Century Gothic" w:hAnsi="Century Gothic"/>
        </w:rPr>
        <w:t xml:space="preserve"> </w:t>
      </w:r>
      <w:r w:rsidR="00247D0B" w:rsidRPr="006720DB">
        <w:rPr>
          <w:rFonts w:ascii="Century Gothic" w:hAnsi="Century Gothic"/>
        </w:rPr>
        <w:t xml:space="preserve">de generar información del desempeño </w:t>
      </w:r>
      <w:r w:rsidR="00D17B35" w:rsidRPr="006720DB">
        <w:rPr>
          <w:rFonts w:ascii="Century Gothic" w:hAnsi="Century Gothic"/>
        </w:rPr>
        <w:t>d</w:t>
      </w:r>
      <w:r w:rsidR="004F4569" w:rsidRPr="006720DB">
        <w:rPr>
          <w:rFonts w:ascii="Century Gothic" w:hAnsi="Century Gothic"/>
        </w:rPr>
        <w:t xml:space="preserve">el ejercicio del gasto público realizado por el Municipio de </w:t>
      </w:r>
      <w:r w:rsidR="00F53601">
        <w:rPr>
          <w:rFonts w:ascii="Century Gothic" w:hAnsi="Century Gothic"/>
        </w:rPr>
        <w:t>San Juan del Río</w:t>
      </w:r>
      <w:r w:rsidR="009134C6">
        <w:rPr>
          <w:rFonts w:ascii="Century Gothic" w:hAnsi="Century Gothic"/>
        </w:rPr>
        <w:t xml:space="preserve"> </w:t>
      </w:r>
      <w:r w:rsidR="004F4569" w:rsidRPr="006720DB">
        <w:rPr>
          <w:rFonts w:ascii="Century Gothic" w:hAnsi="Century Gothic"/>
        </w:rPr>
        <w:t xml:space="preserve">durante el </w:t>
      </w:r>
      <w:r w:rsidR="00052F7A" w:rsidRPr="006720DB">
        <w:rPr>
          <w:rFonts w:ascii="Century Gothic" w:hAnsi="Century Gothic"/>
        </w:rPr>
        <w:t>año</w:t>
      </w:r>
      <w:r w:rsidR="004F4569" w:rsidRPr="006720DB">
        <w:rPr>
          <w:rFonts w:ascii="Century Gothic" w:hAnsi="Century Gothic"/>
        </w:rPr>
        <w:t xml:space="preserve"> fiscal 202</w:t>
      </w:r>
      <w:r w:rsidR="00F534AA">
        <w:rPr>
          <w:rFonts w:ascii="Century Gothic" w:hAnsi="Century Gothic"/>
        </w:rPr>
        <w:t>4</w:t>
      </w:r>
      <w:r w:rsidR="004F4569" w:rsidRPr="006720DB">
        <w:rPr>
          <w:rFonts w:ascii="Century Gothic" w:hAnsi="Century Gothic"/>
        </w:rPr>
        <w:t xml:space="preserve">, </w:t>
      </w:r>
      <w:r w:rsidR="001014A5" w:rsidRPr="006720DB">
        <w:rPr>
          <w:rFonts w:ascii="Century Gothic" w:hAnsi="Century Gothic"/>
        </w:rPr>
        <w:t xml:space="preserve">se emite el Programa Anual de Evaluaciones del Municipio de </w:t>
      </w:r>
      <w:r w:rsidR="00F53601">
        <w:rPr>
          <w:rFonts w:ascii="Century Gothic" w:hAnsi="Century Gothic"/>
        </w:rPr>
        <w:t>San Juan del Río</w:t>
      </w:r>
      <w:r w:rsidR="009134C6">
        <w:rPr>
          <w:rFonts w:ascii="Century Gothic" w:hAnsi="Century Gothic"/>
        </w:rPr>
        <w:t xml:space="preserve"> </w:t>
      </w:r>
      <w:r w:rsidR="00E95008" w:rsidRPr="006720DB">
        <w:rPr>
          <w:rFonts w:ascii="Century Gothic" w:hAnsi="Century Gothic"/>
        </w:rPr>
        <w:t>vigente para el</w:t>
      </w:r>
      <w:r w:rsidR="001014A5" w:rsidRPr="006720DB">
        <w:rPr>
          <w:rFonts w:ascii="Century Gothic" w:hAnsi="Century Gothic"/>
        </w:rPr>
        <w:t xml:space="preserve"> </w:t>
      </w:r>
      <w:r w:rsidR="00FC5F35" w:rsidRPr="006720DB">
        <w:rPr>
          <w:rFonts w:ascii="Century Gothic" w:hAnsi="Century Gothic"/>
        </w:rPr>
        <w:t xml:space="preserve">año </w:t>
      </w:r>
      <w:r w:rsidR="001014A5" w:rsidRPr="006720DB">
        <w:rPr>
          <w:rFonts w:ascii="Century Gothic" w:hAnsi="Century Gothic"/>
        </w:rPr>
        <w:t>202</w:t>
      </w:r>
      <w:r w:rsidR="00F534AA">
        <w:rPr>
          <w:rFonts w:ascii="Century Gothic" w:hAnsi="Century Gothic"/>
        </w:rPr>
        <w:t>5</w:t>
      </w:r>
      <w:r w:rsidR="00A53F4B" w:rsidRPr="006720DB">
        <w:rPr>
          <w:rFonts w:ascii="Century Gothic" w:hAnsi="Century Gothic"/>
        </w:rPr>
        <w:t xml:space="preserve">, con el </w:t>
      </w:r>
      <w:r w:rsidR="00BF70E7" w:rsidRPr="006720DB">
        <w:rPr>
          <w:rFonts w:ascii="Century Gothic" w:hAnsi="Century Gothic"/>
        </w:rPr>
        <w:t xml:space="preserve">fin de dar a conocer las evaluaciones que </w:t>
      </w:r>
      <w:r w:rsidR="00B70981" w:rsidRPr="006720DB">
        <w:rPr>
          <w:rFonts w:ascii="Century Gothic" w:hAnsi="Century Gothic"/>
        </w:rPr>
        <w:t xml:space="preserve">se llevarán a cabo </w:t>
      </w:r>
      <w:r w:rsidR="00E1431D" w:rsidRPr="006720DB">
        <w:rPr>
          <w:rFonts w:ascii="Century Gothic" w:hAnsi="Century Gothic"/>
        </w:rPr>
        <w:t>durante el año</w:t>
      </w:r>
      <w:r w:rsidR="005037F8">
        <w:rPr>
          <w:rFonts w:ascii="Century Gothic" w:hAnsi="Century Gothic"/>
        </w:rPr>
        <w:t xml:space="preserve">, </w:t>
      </w:r>
      <w:r w:rsidR="00B70981" w:rsidRPr="006720DB">
        <w:rPr>
          <w:rFonts w:ascii="Century Gothic" w:hAnsi="Century Gothic"/>
        </w:rPr>
        <w:t xml:space="preserve">así como los programas </w:t>
      </w:r>
      <w:r w:rsidR="00340F8D" w:rsidRPr="006720DB">
        <w:rPr>
          <w:rFonts w:ascii="Century Gothic" w:hAnsi="Century Gothic"/>
        </w:rPr>
        <w:t>a los que se aplicarán.</w:t>
      </w:r>
    </w:p>
    <w:p w14:paraId="28BD9D72" w14:textId="6E427759" w:rsidR="00B823C5" w:rsidRPr="006720DB" w:rsidRDefault="00B823C5" w:rsidP="00F1756A">
      <w:pPr>
        <w:spacing w:line="276" w:lineRule="auto"/>
        <w:jc w:val="both"/>
        <w:rPr>
          <w:rFonts w:ascii="Century Gothic" w:hAnsi="Century Gothic"/>
          <w:b/>
          <w:bCs/>
        </w:rPr>
      </w:pPr>
    </w:p>
    <w:p w14:paraId="1FCC84B0" w14:textId="64F5A99F" w:rsidR="00420D49" w:rsidRPr="006720DB" w:rsidRDefault="00B14EC1" w:rsidP="00F1756A">
      <w:pPr>
        <w:pStyle w:val="Prrafodelista"/>
        <w:numPr>
          <w:ilvl w:val="0"/>
          <w:numId w:val="10"/>
        </w:numPr>
        <w:spacing w:line="276" w:lineRule="auto"/>
        <w:contextualSpacing w:val="0"/>
        <w:jc w:val="both"/>
        <w:rPr>
          <w:rFonts w:ascii="Century Gothic" w:hAnsi="Century Gothic"/>
          <w:b/>
          <w:bCs/>
        </w:rPr>
      </w:pPr>
      <w:r w:rsidRPr="006720DB">
        <w:rPr>
          <w:rFonts w:ascii="Century Gothic" w:hAnsi="Century Gothic"/>
          <w:b/>
          <w:bCs/>
        </w:rPr>
        <w:t>Objetivos del PAE</w:t>
      </w:r>
    </w:p>
    <w:p w14:paraId="77C507AA" w14:textId="42D33F40" w:rsidR="00D6235D" w:rsidRDefault="00C66B23" w:rsidP="00F1756A">
      <w:pPr>
        <w:spacing w:line="276" w:lineRule="auto"/>
        <w:jc w:val="both"/>
        <w:rPr>
          <w:rFonts w:ascii="Century Gothic" w:hAnsi="Century Gothic"/>
        </w:rPr>
      </w:pPr>
      <w:r w:rsidRPr="006720DB">
        <w:rPr>
          <w:rFonts w:ascii="Century Gothic" w:hAnsi="Century Gothic"/>
        </w:rPr>
        <w:t>El presente Programa Anual de Evaluación tiene como</w:t>
      </w:r>
      <w:r w:rsidR="00744D1C">
        <w:rPr>
          <w:rFonts w:ascii="Century Gothic" w:hAnsi="Century Gothic"/>
        </w:rPr>
        <w:t xml:space="preserve"> objetivo general determinar las acciones de evaluación, así como los tipos de evaluación </w:t>
      </w:r>
      <w:r w:rsidR="000303D3">
        <w:rPr>
          <w:rFonts w:ascii="Century Gothic" w:hAnsi="Century Gothic"/>
        </w:rPr>
        <w:t xml:space="preserve">que se aplicarán a los Programas presupuestarios del Municipio de </w:t>
      </w:r>
      <w:r w:rsidR="00F53601">
        <w:rPr>
          <w:rFonts w:ascii="Century Gothic" w:hAnsi="Century Gothic"/>
        </w:rPr>
        <w:t>San Juan del Río</w:t>
      </w:r>
      <w:r w:rsidR="009134C6">
        <w:rPr>
          <w:rFonts w:ascii="Century Gothic" w:hAnsi="Century Gothic"/>
        </w:rPr>
        <w:t xml:space="preserve"> </w:t>
      </w:r>
      <w:r w:rsidR="000303D3">
        <w:rPr>
          <w:rFonts w:ascii="Century Gothic" w:hAnsi="Century Gothic"/>
        </w:rPr>
        <w:t>ejecutados durante el ejercicio fisca</w:t>
      </w:r>
      <w:r w:rsidR="00D52553">
        <w:rPr>
          <w:rFonts w:ascii="Century Gothic" w:hAnsi="Century Gothic"/>
        </w:rPr>
        <w:t>l</w:t>
      </w:r>
      <w:r w:rsidR="000303D3">
        <w:rPr>
          <w:rFonts w:ascii="Century Gothic" w:hAnsi="Century Gothic"/>
        </w:rPr>
        <w:t xml:space="preserve"> 202</w:t>
      </w:r>
      <w:r w:rsidR="00F534AA">
        <w:rPr>
          <w:rFonts w:ascii="Century Gothic" w:hAnsi="Century Gothic"/>
        </w:rPr>
        <w:t>4</w:t>
      </w:r>
      <w:r w:rsidR="000303D3">
        <w:rPr>
          <w:rFonts w:ascii="Century Gothic" w:hAnsi="Century Gothic"/>
        </w:rPr>
        <w:t xml:space="preserve">, a fin de mejorar </w:t>
      </w:r>
      <w:r w:rsidR="00D327EA">
        <w:rPr>
          <w:rFonts w:ascii="Century Gothic" w:hAnsi="Century Gothic"/>
        </w:rPr>
        <w:t xml:space="preserve">los instrumentos de </w:t>
      </w:r>
      <w:r w:rsidR="006B1E8D">
        <w:rPr>
          <w:rFonts w:ascii="Century Gothic" w:hAnsi="Century Gothic"/>
        </w:rPr>
        <w:t xml:space="preserve">planeación de cada uno de ellos </w:t>
      </w:r>
      <w:r w:rsidR="00EE25DF">
        <w:rPr>
          <w:rFonts w:ascii="Century Gothic" w:hAnsi="Century Gothic"/>
        </w:rPr>
        <w:t xml:space="preserve">y valorar los resultados obtenidos </w:t>
      </w:r>
      <w:r w:rsidR="002C6B18">
        <w:rPr>
          <w:rFonts w:ascii="Century Gothic" w:hAnsi="Century Gothic"/>
        </w:rPr>
        <w:t>a través de sus indicadores estratégicos y de gestión.</w:t>
      </w:r>
    </w:p>
    <w:p w14:paraId="45E502D4" w14:textId="7E9F8BBB" w:rsidR="00C66B23" w:rsidRPr="003F3076" w:rsidRDefault="00CF4E84" w:rsidP="00F1756A">
      <w:pPr>
        <w:spacing w:line="276" w:lineRule="auto"/>
        <w:jc w:val="both"/>
        <w:rPr>
          <w:rFonts w:ascii="Century Gothic" w:hAnsi="Century Gothic"/>
        </w:rPr>
      </w:pPr>
      <w:r w:rsidRPr="003F3076">
        <w:rPr>
          <w:rFonts w:ascii="Century Gothic" w:hAnsi="Century Gothic"/>
        </w:rPr>
        <w:t>Objetivos generales</w:t>
      </w:r>
      <w:r w:rsidR="00C66B23" w:rsidRPr="003F3076">
        <w:rPr>
          <w:rFonts w:ascii="Century Gothic" w:hAnsi="Century Gothic"/>
        </w:rPr>
        <w:t>:</w:t>
      </w:r>
    </w:p>
    <w:p w14:paraId="7090A206" w14:textId="3E817040" w:rsidR="00CF4E84" w:rsidRDefault="009C1490" w:rsidP="00F1756A">
      <w:pPr>
        <w:pStyle w:val="Prrafodelista"/>
        <w:numPr>
          <w:ilvl w:val="0"/>
          <w:numId w:val="7"/>
        </w:numPr>
        <w:spacing w:line="276" w:lineRule="auto"/>
        <w:contextualSpacing w:val="0"/>
        <w:jc w:val="both"/>
        <w:rPr>
          <w:rFonts w:ascii="Century Gothic" w:hAnsi="Century Gothic"/>
        </w:rPr>
      </w:pPr>
      <w:r w:rsidRPr="00FE7663">
        <w:rPr>
          <w:rFonts w:ascii="Century Gothic" w:hAnsi="Century Gothic"/>
        </w:rPr>
        <w:t>Generar información del Desempeño de los Programas del Municipio</w:t>
      </w:r>
      <w:r w:rsidR="00B601DD">
        <w:rPr>
          <w:rFonts w:ascii="Century Gothic" w:hAnsi="Century Gothic"/>
        </w:rPr>
        <w:t>, para tomar decisiones presu</w:t>
      </w:r>
      <w:r w:rsidR="00D525D2">
        <w:rPr>
          <w:rFonts w:ascii="Century Gothic" w:hAnsi="Century Gothic"/>
        </w:rPr>
        <w:t>pu</w:t>
      </w:r>
      <w:r w:rsidR="00B601DD">
        <w:rPr>
          <w:rFonts w:ascii="Century Gothic" w:hAnsi="Century Gothic"/>
        </w:rPr>
        <w:t xml:space="preserve">estales </w:t>
      </w:r>
      <w:r w:rsidR="00D525D2">
        <w:rPr>
          <w:rFonts w:ascii="Century Gothic" w:hAnsi="Century Gothic"/>
        </w:rPr>
        <w:t xml:space="preserve">futuras y abonar al </w:t>
      </w:r>
      <w:r w:rsidR="00A90EA4">
        <w:rPr>
          <w:rFonts w:ascii="Century Gothic" w:hAnsi="Century Gothic"/>
        </w:rPr>
        <w:t>Presupuesto basado en Resultados y el Sis</w:t>
      </w:r>
      <w:r w:rsidR="00EA7F8D">
        <w:rPr>
          <w:rFonts w:ascii="Century Gothic" w:hAnsi="Century Gothic"/>
        </w:rPr>
        <w:t>tema de Evaluación del Desempeño</w:t>
      </w:r>
      <w:r w:rsidR="00FE7663" w:rsidRPr="00FE7663">
        <w:rPr>
          <w:rFonts w:ascii="Century Gothic" w:hAnsi="Century Gothic"/>
        </w:rPr>
        <w:t>.</w:t>
      </w:r>
    </w:p>
    <w:p w14:paraId="52FC956A" w14:textId="34CD0E7F" w:rsidR="00B601DD" w:rsidRPr="00FE7663" w:rsidRDefault="00B601DD" w:rsidP="00F1756A">
      <w:pPr>
        <w:pStyle w:val="Prrafodelista"/>
        <w:numPr>
          <w:ilvl w:val="0"/>
          <w:numId w:val="7"/>
        </w:numPr>
        <w:spacing w:line="276" w:lineRule="auto"/>
        <w:contextualSpacing w:val="0"/>
        <w:jc w:val="both"/>
        <w:rPr>
          <w:rFonts w:ascii="Century Gothic" w:hAnsi="Century Gothic"/>
        </w:rPr>
      </w:pPr>
      <w:r>
        <w:rPr>
          <w:rFonts w:ascii="Century Gothic" w:hAnsi="Century Gothic"/>
        </w:rPr>
        <w:t>Dar a conocer a l</w:t>
      </w:r>
      <w:r w:rsidR="00300F54">
        <w:rPr>
          <w:rFonts w:ascii="Century Gothic" w:hAnsi="Century Gothic"/>
        </w:rPr>
        <w:t xml:space="preserve">a población </w:t>
      </w:r>
      <w:r w:rsidR="00102ABA">
        <w:rPr>
          <w:rFonts w:ascii="Century Gothic" w:hAnsi="Century Gothic"/>
        </w:rPr>
        <w:t>sanjuanense</w:t>
      </w:r>
      <w:r w:rsidR="00300F54">
        <w:rPr>
          <w:rFonts w:ascii="Century Gothic" w:hAnsi="Century Gothic"/>
        </w:rPr>
        <w:t xml:space="preserve"> los resultados obtenidos con el ejercicio de los recursos públicos </w:t>
      </w:r>
      <w:r w:rsidR="007D5547">
        <w:rPr>
          <w:rFonts w:ascii="Century Gothic" w:hAnsi="Century Gothic"/>
        </w:rPr>
        <w:t>durante el año fiscal 202</w:t>
      </w:r>
      <w:r w:rsidR="00F534AA">
        <w:rPr>
          <w:rFonts w:ascii="Century Gothic" w:hAnsi="Century Gothic"/>
        </w:rPr>
        <w:t>4</w:t>
      </w:r>
      <w:r w:rsidR="007D5547">
        <w:rPr>
          <w:rFonts w:ascii="Century Gothic" w:hAnsi="Century Gothic"/>
        </w:rPr>
        <w:t>.</w:t>
      </w:r>
    </w:p>
    <w:p w14:paraId="3A430A19" w14:textId="77D42DE8" w:rsidR="00CB3AE9" w:rsidRPr="006720DB" w:rsidRDefault="009C0CA7" w:rsidP="00F1756A">
      <w:pPr>
        <w:pStyle w:val="Prrafodelista"/>
        <w:numPr>
          <w:ilvl w:val="0"/>
          <w:numId w:val="7"/>
        </w:numPr>
        <w:spacing w:line="276" w:lineRule="auto"/>
        <w:contextualSpacing w:val="0"/>
        <w:jc w:val="both"/>
        <w:rPr>
          <w:rFonts w:ascii="Century Gothic" w:hAnsi="Century Gothic"/>
          <w:b/>
          <w:bCs/>
        </w:rPr>
      </w:pPr>
      <w:r w:rsidRPr="006720DB">
        <w:rPr>
          <w:rFonts w:ascii="Century Gothic" w:hAnsi="Century Gothic"/>
        </w:rPr>
        <w:lastRenderedPageBreak/>
        <w:t xml:space="preserve">Definir los </w:t>
      </w:r>
      <w:r w:rsidR="00102ABA">
        <w:rPr>
          <w:rFonts w:ascii="Century Gothic" w:hAnsi="Century Gothic"/>
        </w:rPr>
        <w:t>P</w:t>
      </w:r>
      <w:r w:rsidRPr="006720DB">
        <w:rPr>
          <w:rFonts w:ascii="Century Gothic" w:hAnsi="Century Gothic"/>
        </w:rPr>
        <w:t>rograma</w:t>
      </w:r>
      <w:r w:rsidR="00EE06AE" w:rsidRPr="006720DB">
        <w:rPr>
          <w:rFonts w:ascii="Century Gothic" w:hAnsi="Century Gothic"/>
        </w:rPr>
        <w:t>s presupuestarios</w:t>
      </w:r>
      <w:r w:rsidR="005C48F6" w:rsidRPr="006720DB">
        <w:rPr>
          <w:rFonts w:ascii="Century Gothic" w:hAnsi="Century Gothic"/>
        </w:rPr>
        <w:t xml:space="preserve"> </w:t>
      </w:r>
      <w:r w:rsidR="002D5EF6" w:rsidRPr="006720DB">
        <w:rPr>
          <w:rFonts w:ascii="Century Gothic" w:hAnsi="Century Gothic"/>
        </w:rPr>
        <w:t>a los que se les practicaran las evaluaciones de desempeño</w:t>
      </w:r>
      <w:r w:rsidRPr="006720DB">
        <w:rPr>
          <w:rFonts w:ascii="Century Gothic" w:hAnsi="Century Gothic"/>
        </w:rPr>
        <w:t xml:space="preserve"> </w:t>
      </w:r>
      <w:r w:rsidR="002F5B9F" w:rsidRPr="006720DB">
        <w:rPr>
          <w:rFonts w:ascii="Century Gothic" w:hAnsi="Century Gothic"/>
        </w:rPr>
        <w:t>ejecutados</w:t>
      </w:r>
      <w:r w:rsidR="00CB3AE9" w:rsidRPr="006720DB">
        <w:rPr>
          <w:rFonts w:ascii="Century Gothic" w:hAnsi="Century Gothic"/>
        </w:rPr>
        <w:t xml:space="preserve"> durante el ejercicio </w:t>
      </w:r>
      <w:r w:rsidR="002F5B9F" w:rsidRPr="006720DB">
        <w:rPr>
          <w:rFonts w:ascii="Century Gothic" w:hAnsi="Century Gothic"/>
        </w:rPr>
        <w:t>fiscal</w:t>
      </w:r>
      <w:r w:rsidR="00CB3AE9" w:rsidRPr="006720DB">
        <w:rPr>
          <w:rFonts w:ascii="Century Gothic" w:hAnsi="Century Gothic"/>
        </w:rPr>
        <w:t xml:space="preserve"> 202</w:t>
      </w:r>
      <w:r w:rsidR="00F534AA">
        <w:rPr>
          <w:rFonts w:ascii="Century Gothic" w:hAnsi="Century Gothic"/>
        </w:rPr>
        <w:t>4</w:t>
      </w:r>
      <w:r w:rsidR="00CB3AE9" w:rsidRPr="006720DB">
        <w:rPr>
          <w:rFonts w:ascii="Century Gothic" w:hAnsi="Century Gothic"/>
        </w:rPr>
        <w:t>.</w:t>
      </w:r>
    </w:p>
    <w:p w14:paraId="574DAD61" w14:textId="4CE19E32" w:rsidR="002F5B9F" w:rsidRPr="006720DB" w:rsidRDefault="007A1064" w:rsidP="00F1756A">
      <w:pPr>
        <w:pStyle w:val="Prrafodelista"/>
        <w:numPr>
          <w:ilvl w:val="0"/>
          <w:numId w:val="7"/>
        </w:numPr>
        <w:spacing w:line="276" w:lineRule="auto"/>
        <w:contextualSpacing w:val="0"/>
        <w:jc w:val="both"/>
        <w:rPr>
          <w:rFonts w:ascii="Century Gothic" w:hAnsi="Century Gothic"/>
          <w:b/>
          <w:bCs/>
        </w:rPr>
      </w:pPr>
      <w:r w:rsidRPr="006720DB">
        <w:rPr>
          <w:rFonts w:ascii="Century Gothic" w:hAnsi="Century Gothic"/>
        </w:rPr>
        <w:t>Precisar</w:t>
      </w:r>
      <w:r w:rsidR="00CB3AE9" w:rsidRPr="006720DB">
        <w:rPr>
          <w:rFonts w:ascii="Century Gothic" w:hAnsi="Century Gothic"/>
        </w:rPr>
        <w:t xml:space="preserve"> el tipo de </w:t>
      </w:r>
      <w:r w:rsidR="002F5B9F" w:rsidRPr="006720DB">
        <w:rPr>
          <w:rFonts w:ascii="Century Gothic" w:hAnsi="Century Gothic"/>
        </w:rPr>
        <w:t>evaluaci</w:t>
      </w:r>
      <w:r w:rsidR="00837FEB" w:rsidRPr="006720DB">
        <w:rPr>
          <w:rFonts w:ascii="Century Gothic" w:hAnsi="Century Gothic"/>
        </w:rPr>
        <w:t>ón</w:t>
      </w:r>
      <w:r w:rsidR="00CB3AE9" w:rsidRPr="006720DB">
        <w:rPr>
          <w:rFonts w:ascii="Century Gothic" w:hAnsi="Century Gothic"/>
        </w:rPr>
        <w:t xml:space="preserve"> a realizar</w:t>
      </w:r>
      <w:r w:rsidR="002F5B9F" w:rsidRPr="006720DB">
        <w:rPr>
          <w:rFonts w:ascii="Century Gothic" w:hAnsi="Century Gothic"/>
        </w:rPr>
        <w:t>.</w:t>
      </w:r>
    </w:p>
    <w:p w14:paraId="3DC4BA76" w14:textId="54C6D10B" w:rsidR="00BB642A" w:rsidRPr="007D5547" w:rsidRDefault="007A1064" w:rsidP="00F1756A">
      <w:pPr>
        <w:pStyle w:val="Prrafodelista"/>
        <w:numPr>
          <w:ilvl w:val="0"/>
          <w:numId w:val="7"/>
        </w:numPr>
        <w:spacing w:line="276" w:lineRule="auto"/>
        <w:contextualSpacing w:val="0"/>
        <w:jc w:val="both"/>
        <w:rPr>
          <w:rFonts w:ascii="Century Gothic" w:hAnsi="Century Gothic"/>
          <w:b/>
          <w:bCs/>
        </w:rPr>
      </w:pPr>
      <w:r w:rsidRPr="006720DB">
        <w:rPr>
          <w:rFonts w:ascii="Century Gothic" w:hAnsi="Century Gothic"/>
        </w:rPr>
        <w:t>Precisar</w:t>
      </w:r>
      <w:r w:rsidR="00BB642A" w:rsidRPr="006720DB">
        <w:rPr>
          <w:rFonts w:ascii="Century Gothic" w:hAnsi="Century Gothic"/>
        </w:rPr>
        <w:t xml:space="preserve"> la metodología a utilizar para practicar las evaluaciones de desempeño. </w:t>
      </w:r>
      <w:r w:rsidR="00EA2B34" w:rsidRPr="006720DB">
        <w:rPr>
          <w:rFonts w:ascii="Century Gothic" w:hAnsi="Century Gothic"/>
        </w:rPr>
        <w:t xml:space="preserve"> </w:t>
      </w:r>
      <w:r w:rsidR="00BB642A" w:rsidRPr="006720DB">
        <w:rPr>
          <w:rFonts w:ascii="Century Gothic" w:hAnsi="Century Gothic"/>
        </w:rPr>
        <w:t xml:space="preserve"> </w:t>
      </w:r>
    </w:p>
    <w:p w14:paraId="56F3AA88" w14:textId="58484657" w:rsidR="007D5547" w:rsidRPr="006720DB" w:rsidRDefault="007D5547" w:rsidP="00F1756A">
      <w:pPr>
        <w:pStyle w:val="Prrafodelista"/>
        <w:numPr>
          <w:ilvl w:val="0"/>
          <w:numId w:val="7"/>
        </w:numPr>
        <w:spacing w:line="276" w:lineRule="auto"/>
        <w:contextualSpacing w:val="0"/>
        <w:jc w:val="both"/>
        <w:rPr>
          <w:rFonts w:ascii="Century Gothic" w:hAnsi="Century Gothic"/>
          <w:b/>
          <w:bCs/>
        </w:rPr>
      </w:pPr>
      <w:r>
        <w:rPr>
          <w:rFonts w:ascii="Century Gothic" w:hAnsi="Century Gothic"/>
        </w:rPr>
        <w:t xml:space="preserve">Establecer los periodos de tiempo en los que se deberán </w:t>
      </w:r>
      <w:r w:rsidR="00027939">
        <w:rPr>
          <w:rFonts w:ascii="Century Gothic" w:hAnsi="Century Gothic"/>
        </w:rPr>
        <w:t>ll</w:t>
      </w:r>
      <w:r w:rsidR="00F12235">
        <w:rPr>
          <w:rFonts w:ascii="Century Gothic" w:hAnsi="Century Gothic"/>
        </w:rPr>
        <w:t xml:space="preserve">eva a cabo dichas evaluaciones. </w:t>
      </w:r>
    </w:p>
    <w:p w14:paraId="305ABC5C" w14:textId="77777777" w:rsidR="00F91C46" w:rsidRPr="0022544C" w:rsidRDefault="00B15992" w:rsidP="00F1756A">
      <w:pPr>
        <w:pStyle w:val="Prrafodelista"/>
        <w:numPr>
          <w:ilvl w:val="0"/>
          <w:numId w:val="7"/>
        </w:numPr>
        <w:spacing w:line="276" w:lineRule="auto"/>
        <w:contextualSpacing w:val="0"/>
        <w:jc w:val="both"/>
        <w:rPr>
          <w:rFonts w:ascii="Century Gothic" w:hAnsi="Century Gothic"/>
          <w:b/>
          <w:bCs/>
        </w:rPr>
      </w:pPr>
      <w:r w:rsidRPr="006720DB">
        <w:rPr>
          <w:rFonts w:ascii="Century Gothic" w:hAnsi="Century Gothic"/>
        </w:rPr>
        <w:t xml:space="preserve">Determinar las </w:t>
      </w:r>
      <w:r w:rsidR="00BA3CBE" w:rsidRPr="006720DB">
        <w:rPr>
          <w:rFonts w:ascii="Century Gothic" w:hAnsi="Century Gothic"/>
        </w:rPr>
        <w:t xml:space="preserve">responsabilidades de la unidad encargada de darle seguimiento al presente Programa Anual de Evaluación, </w:t>
      </w:r>
      <w:r w:rsidR="007A6513" w:rsidRPr="006720DB">
        <w:rPr>
          <w:rFonts w:ascii="Century Gothic" w:hAnsi="Century Gothic"/>
        </w:rPr>
        <w:t>así como de las unidades responsables de los programas evaluados.</w:t>
      </w:r>
    </w:p>
    <w:p w14:paraId="1724E47F" w14:textId="2A66D008" w:rsidR="0022544C" w:rsidRPr="006720DB" w:rsidRDefault="007A1064" w:rsidP="00F1756A">
      <w:pPr>
        <w:pStyle w:val="Prrafodelista"/>
        <w:numPr>
          <w:ilvl w:val="0"/>
          <w:numId w:val="7"/>
        </w:numPr>
        <w:spacing w:line="276" w:lineRule="auto"/>
        <w:contextualSpacing w:val="0"/>
        <w:jc w:val="both"/>
        <w:rPr>
          <w:rFonts w:ascii="Century Gothic" w:hAnsi="Century Gothic"/>
          <w:b/>
          <w:bCs/>
        </w:rPr>
      </w:pPr>
      <w:r>
        <w:rPr>
          <w:rFonts w:ascii="Century Gothic" w:hAnsi="Century Gothic"/>
        </w:rPr>
        <w:t xml:space="preserve">Indicar </w:t>
      </w:r>
      <w:r w:rsidR="00163DC8">
        <w:rPr>
          <w:rFonts w:ascii="Century Gothic" w:hAnsi="Century Gothic"/>
        </w:rPr>
        <w:t xml:space="preserve">los </w:t>
      </w:r>
      <w:r w:rsidR="00A923D4">
        <w:rPr>
          <w:rFonts w:ascii="Century Gothic" w:hAnsi="Century Gothic"/>
        </w:rPr>
        <w:t>P</w:t>
      </w:r>
      <w:r w:rsidR="00163DC8">
        <w:rPr>
          <w:rFonts w:ascii="Century Gothic" w:hAnsi="Century Gothic"/>
        </w:rPr>
        <w:t xml:space="preserve">rogramas presupuestarios a los que se les aplicarán las evaluaciones de desempeño </w:t>
      </w:r>
      <w:r w:rsidR="0079128E">
        <w:rPr>
          <w:rFonts w:ascii="Century Gothic" w:hAnsi="Century Gothic"/>
        </w:rPr>
        <w:t>ejecutados durante el ejercicio fiscal 202</w:t>
      </w:r>
      <w:r w:rsidR="00F534AA">
        <w:rPr>
          <w:rFonts w:ascii="Century Gothic" w:hAnsi="Century Gothic"/>
        </w:rPr>
        <w:t>4</w:t>
      </w:r>
      <w:r w:rsidR="004C148D">
        <w:rPr>
          <w:rFonts w:ascii="Century Gothic" w:hAnsi="Century Gothic"/>
        </w:rPr>
        <w:t>, las cuales se llevarán a cabo</w:t>
      </w:r>
      <w:r w:rsidR="007475F5">
        <w:rPr>
          <w:rFonts w:ascii="Century Gothic" w:hAnsi="Century Gothic"/>
        </w:rPr>
        <w:t xml:space="preserve"> en caso de que se cuente con la suficiencia presupuestal</w:t>
      </w:r>
      <w:r w:rsidR="00300920">
        <w:rPr>
          <w:rFonts w:ascii="Century Gothic" w:hAnsi="Century Gothic"/>
        </w:rPr>
        <w:t xml:space="preserve"> durante el año fiscal 202</w:t>
      </w:r>
      <w:r w:rsidR="00F534AA">
        <w:rPr>
          <w:rFonts w:ascii="Century Gothic" w:hAnsi="Century Gothic"/>
        </w:rPr>
        <w:t>5</w:t>
      </w:r>
      <w:r w:rsidR="0079128E">
        <w:rPr>
          <w:rFonts w:ascii="Century Gothic" w:hAnsi="Century Gothic"/>
        </w:rPr>
        <w:t xml:space="preserve">. </w:t>
      </w:r>
    </w:p>
    <w:p w14:paraId="7AA6A885" w14:textId="77777777" w:rsidR="00851FA1" w:rsidRPr="006720DB" w:rsidRDefault="007A6513" w:rsidP="00F1756A">
      <w:pPr>
        <w:spacing w:line="276" w:lineRule="auto"/>
        <w:jc w:val="both"/>
        <w:rPr>
          <w:rFonts w:ascii="Century Gothic" w:hAnsi="Century Gothic"/>
        </w:rPr>
      </w:pPr>
      <w:r w:rsidRPr="006720DB">
        <w:rPr>
          <w:rFonts w:ascii="Century Gothic" w:hAnsi="Century Gothic"/>
        </w:rPr>
        <w:t xml:space="preserve"> </w:t>
      </w:r>
    </w:p>
    <w:p w14:paraId="17F08E3F" w14:textId="6D7B4674" w:rsidR="008476ED" w:rsidRPr="003E71BF" w:rsidRDefault="0098003A" w:rsidP="00F1756A">
      <w:pPr>
        <w:pStyle w:val="Prrafodelista"/>
        <w:numPr>
          <w:ilvl w:val="0"/>
          <w:numId w:val="10"/>
        </w:numPr>
        <w:spacing w:line="276" w:lineRule="auto"/>
        <w:contextualSpacing w:val="0"/>
        <w:jc w:val="both"/>
        <w:rPr>
          <w:rFonts w:ascii="Century Gothic" w:hAnsi="Century Gothic"/>
          <w:b/>
          <w:bCs/>
        </w:rPr>
      </w:pPr>
      <w:r w:rsidRPr="003E71BF">
        <w:rPr>
          <w:rFonts w:ascii="Century Gothic" w:hAnsi="Century Gothic"/>
          <w:b/>
          <w:bCs/>
        </w:rPr>
        <w:t>Ámbito de coordinación</w:t>
      </w:r>
      <w:r w:rsidR="00D967E4" w:rsidRPr="003E71BF">
        <w:rPr>
          <w:rFonts w:ascii="Century Gothic" w:hAnsi="Century Gothic"/>
          <w:b/>
          <w:bCs/>
        </w:rPr>
        <w:t>.</w:t>
      </w:r>
    </w:p>
    <w:p w14:paraId="5D1F68E3" w14:textId="7AEF630A" w:rsidR="00C86EFA" w:rsidRPr="006720DB" w:rsidRDefault="00924D39" w:rsidP="00F1756A">
      <w:pPr>
        <w:spacing w:line="276" w:lineRule="auto"/>
        <w:jc w:val="both"/>
        <w:rPr>
          <w:rFonts w:ascii="Century Gothic" w:hAnsi="Century Gothic"/>
          <w:b/>
          <w:bCs/>
        </w:rPr>
      </w:pPr>
      <w:r w:rsidRPr="006720DB">
        <w:rPr>
          <w:rFonts w:ascii="Century Gothic" w:hAnsi="Century Gothic"/>
        </w:rPr>
        <w:t xml:space="preserve">Corresponde al </w:t>
      </w:r>
      <w:r w:rsidR="00A53D17">
        <w:rPr>
          <w:rFonts w:ascii="Century Gothic" w:hAnsi="Century Gothic"/>
        </w:rPr>
        <w:t>Órgano Interno de Control</w:t>
      </w:r>
      <w:r w:rsidRPr="006720DB">
        <w:rPr>
          <w:rFonts w:ascii="Century Gothic" w:hAnsi="Century Gothic"/>
        </w:rPr>
        <w:t xml:space="preserve"> la coordinación de </w:t>
      </w:r>
      <w:r w:rsidR="008476ED" w:rsidRPr="006720DB">
        <w:rPr>
          <w:rFonts w:ascii="Century Gothic" w:hAnsi="Century Gothic"/>
        </w:rPr>
        <w:t>aquellas evaluaciones</w:t>
      </w:r>
      <w:r w:rsidRPr="006720DB">
        <w:rPr>
          <w:rFonts w:ascii="Century Gothic" w:hAnsi="Century Gothic"/>
        </w:rPr>
        <w:t xml:space="preserve"> que se realicen a los programas presupuestarios </w:t>
      </w:r>
      <w:r w:rsidR="00985694" w:rsidRPr="006720DB">
        <w:rPr>
          <w:rFonts w:ascii="Century Gothic" w:hAnsi="Century Gothic"/>
        </w:rPr>
        <w:t>financiados</w:t>
      </w:r>
      <w:r w:rsidR="00A37550" w:rsidRPr="006720DB">
        <w:rPr>
          <w:rFonts w:ascii="Century Gothic" w:hAnsi="Century Gothic"/>
        </w:rPr>
        <w:t xml:space="preserve"> co</w:t>
      </w:r>
      <w:r w:rsidR="00985694" w:rsidRPr="006720DB">
        <w:rPr>
          <w:rFonts w:ascii="Century Gothic" w:hAnsi="Century Gothic"/>
        </w:rPr>
        <w:t xml:space="preserve">n recursos federales, </w:t>
      </w:r>
      <w:r w:rsidR="00073DF1" w:rsidRPr="006720DB">
        <w:rPr>
          <w:rFonts w:ascii="Century Gothic" w:hAnsi="Century Gothic"/>
        </w:rPr>
        <w:t>en el ámbito no social y social</w:t>
      </w:r>
      <w:r w:rsidR="00A37550" w:rsidRPr="006720DB">
        <w:rPr>
          <w:rFonts w:ascii="Century Gothic" w:hAnsi="Century Gothic"/>
        </w:rPr>
        <w:t xml:space="preserve">, incluyendo al </w:t>
      </w:r>
      <w:r w:rsidR="00643BB7" w:rsidRPr="006720DB">
        <w:rPr>
          <w:rFonts w:ascii="Century Gothic" w:hAnsi="Century Gothic"/>
        </w:rPr>
        <w:t xml:space="preserve">Fondo de Aportaciones para el </w:t>
      </w:r>
      <w:r w:rsidR="00234C92" w:rsidRPr="006720DB">
        <w:rPr>
          <w:rFonts w:ascii="Century Gothic" w:hAnsi="Century Gothic"/>
        </w:rPr>
        <w:t>Fortalecimiento</w:t>
      </w:r>
      <w:r w:rsidR="00643BB7" w:rsidRPr="006720DB">
        <w:rPr>
          <w:rFonts w:ascii="Century Gothic" w:hAnsi="Century Gothic"/>
        </w:rPr>
        <w:t xml:space="preserve"> de los Municipio y de las Demarcaciones Territoriales del Distrito Federal (FORTAMUN-DF)</w:t>
      </w:r>
      <w:r w:rsidR="003206B7" w:rsidRPr="006720DB">
        <w:rPr>
          <w:rFonts w:ascii="Century Gothic" w:hAnsi="Century Gothic"/>
        </w:rPr>
        <w:t xml:space="preserve"> y el </w:t>
      </w:r>
      <w:r w:rsidR="00276458" w:rsidRPr="00276458">
        <w:rPr>
          <w:rFonts w:ascii="Century Gothic" w:hAnsi="Century Gothic"/>
        </w:rPr>
        <w:t>Fondo de Aportaciones para la Infraestructura Social Municipal y de las Demarcaciones Territoriales del Distrito Federal (FAISMUN)</w:t>
      </w:r>
      <w:r w:rsidR="00A53D17">
        <w:rPr>
          <w:rFonts w:ascii="Century Gothic" w:hAnsi="Century Gothic"/>
        </w:rPr>
        <w:t>.</w:t>
      </w:r>
      <w:r w:rsidR="00A53D17" w:rsidRPr="00A53D17">
        <w:rPr>
          <w:rFonts w:ascii="Century Gothic" w:hAnsi="Century Gothic"/>
        </w:rPr>
        <w:t xml:space="preserve"> </w:t>
      </w:r>
      <w:r w:rsidR="008B4B18" w:rsidRPr="006720DB">
        <w:rPr>
          <w:rFonts w:ascii="Century Gothic" w:hAnsi="Century Gothic"/>
        </w:rPr>
        <w:t>Así como la</w:t>
      </w:r>
      <w:r w:rsidR="00C86EFA" w:rsidRPr="006720DB">
        <w:rPr>
          <w:rFonts w:ascii="Century Gothic" w:hAnsi="Century Gothic"/>
        </w:rPr>
        <w:t xml:space="preserve"> coordinación de aquellas evaluaciones que se realicen a los programas presupuestarios financiados</w:t>
      </w:r>
      <w:r w:rsidR="00BB190B" w:rsidRPr="006720DB">
        <w:rPr>
          <w:rFonts w:ascii="Century Gothic" w:hAnsi="Century Gothic"/>
        </w:rPr>
        <w:t xml:space="preserve"> </w:t>
      </w:r>
      <w:r w:rsidR="007B23A4" w:rsidRPr="006720DB">
        <w:rPr>
          <w:rFonts w:ascii="Century Gothic" w:hAnsi="Century Gothic"/>
        </w:rPr>
        <w:t>con otro tipo de fuente distinta a la federal</w:t>
      </w:r>
      <w:r w:rsidR="00C86EFA" w:rsidRPr="006720DB">
        <w:rPr>
          <w:rFonts w:ascii="Century Gothic" w:hAnsi="Century Gothic"/>
        </w:rPr>
        <w:t>, en el ámbito no social y social.</w:t>
      </w:r>
    </w:p>
    <w:p w14:paraId="57891607" w14:textId="7BDC1B58" w:rsidR="007C4FF9" w:rsidRPr="006720DB" w:rsidRDefault="009529B7" w:rsidP="00F1756A">
      <w:pPr>
        <w:spacing w:line="276" w:lineRule="auto"/>
        <w:jc w:val="both"/>
        <w:rPr>
          <w:rFonts w:ascii="Century Gothic" w:hAnsi="Century Gothic"/>
          <w:b/>
          <w:bCs/>
        </w:rPr>
      </w:pPr>
      <w:r w:rsidRPr="006720DB">
        <w:rPr>
          <w:rFonts w:ascii="Century Gothic" w:hAnsi="Century Gothic"/>
        </w:rPr>
        <w:t xml:space="preserve">El </w:t>
      </w:r>
      <w:r w:rsidR="00A53D17">
        <w:rPr>
          <w:rFonts w:ascii="Century Gothic" w:hAnsi="Century Gothic"/>
        </w:rPr>
        <w:t>Órgano Interno de Control</w:t>
      </w:r>
      <w:r w:rsidR="003B5011" w:rsidRPr="006720DB">
        <w:rPr>
          <w:rFonts w:ascii="Century Gothic" w:hAnsi="Century Gothic"/>
        </w:rPr>
        <w:t xml:space="preserve">, como instancia coordinadora, </w:t>
      </w:r>
      <w:r w:rsidR="000104E5" w:rsidRPr="006720DB">
        <w:rPr>
          <w:rFonts w:ascii="Century Gothic" w:hAnsi="Century Gothic"/>
        </w:rPr>
        <w:t xml:space="preserve">será la encargada </w:t>
      </w:r>
      <w:r w:rsidR="00634856" w:rsidRPr="006720DB">
        <w:rPr>
          <w:rFonts w:ascii="Century Gothic" w:hAnsi="Century Gothic"/>
        </w:rPr>
        <w:t>de</w:t>
      </w:r>
      <w:r w:rsidR="008D23AC">
        <w:rPr>
          <w:rFonts w:ascii="Century Gothic" w:hAnsi="Century Gothic"/>
        </w:rPr>
        <w:t xml:space="preserve"> solicitar la</w:t>
      </w:r>
      <w:r w:rsidR="00634856" w:rsidRPr="006720DB">
        <w:rPr>
          <w:rFonts w:ascii="Century Gothic" w:hAnsi="Century Gothic"/>
        </w:rPr>
        <w:t xml:space="preserve"> contrata</w:t>
      </w:r>
      <w:r w:rsidR="008D23AC">
        <w:rPr>
          <w:rFonts w:ascii="Century Gothic" w:hAnsi="Century Gothic"/>
        </w:rPr>
        <w:t>ción</w:t>
      </w:r>
      <w:r w:rsidR="00634856" w:rsidRPr="006720DB">
        <w:rPr>
          <w:rFonts w:ascii="Century Gothic" w:hAnsi="Century Gothic"/>
        </w:rPr>
        <w:t xml:space="preserve"> </w:t>
      </w:r>
      <w:r w:rsidR="008D23AC">
        <w:rPr>
          <w:rFonts w:ascii="Century Gothic" w:hAnsi="Century Gothic"/>
        </w:rPr>
        <w:t>de</w:t>
      </w:r>
      <w:r w:rsidR="00250A84">
        <w:rPr>
          <w:rFonts w:ascii="Century Gothic" w:hAnsi="Century Gothic"/>
        </w:rPr>
        <w:t xml:space="preserve"> un proveedor</w:t>
      </w:r>
      <w:r w:rsidR="000021DB" w:rsidRPr="006720DB">
        <w:rPr>
          <w:rFonts w:ascii="Century Gothic" w:hAnsi="Century Gothic"/>
        </w:rPr>
        <w:t xml:space="preserve"> externo que realice las evaluaciones a los</w:t>
      </w:r>
      <w:r w:rsidR="00250A84">
        <w:rPr>
          <w:rFonts w:ascii="Century Gothic" w:hAnsi="Century Gothic"/>
        </w:rPr>
        <w:t xml:space="preserve"> P</w:t>
      </w:r>
      <w:r w:rsidR="00B219BC" w:rsidRPr="006720DB">
        <w:rPr>
          <w:rFonts w:ascii="Century Gothic" w:hAnsi="Century Gothic"/>
        </w:rPr>
        <w:t>rogramas presupuestarios</w:t>
      </w:r>
      <w:r w:rsidR="000021DB" w:rsidRPr="006720DB">
        <w:rPr>
          <w:rFonts w:ascii="Century Gothic" w:hAnsi="Century Gothic"/>
        </w:rPr>
        <w:t xml:space="preserve"> </w:t>
      </w:r>
      <w:r w:rsidR="004E07D7" w:rsidRPr="006720DB">
        <w:rPr>
          <w:rFonts w:ascii="Century Gothic" w:hAnsi="Century Gothic"/>
        </w:rPr>
        <w:t xml:space="preserve">referidos en el presente documento, así </w:t>
      </w:r>
      <w:r w:rsidR="008F1B8E" w:rsidRPr="006720DB">
        <w:rPr>
          <w:rFonts w:ascii="Century Gothic" w:hAnsi="Century Gothic"/>
        </w:rPr>
        <w:t>como de</w:t>
      </w:r>
      <w:r w:rsidR="004E07D7" w:rsidRPr="006720DB">
        <w:rPr>
          <w:rFonts w:ascii="Century Gothic" w:hAnsi="Century Gothic"/>
        </w:rPr>
        <w:t xml:space="preserve"> supervisar</w:t>
      </w:r>
      <w:r w:rsidR="00FF486B" w:rsidRPr="006720DB">
        <w:rPr>
          <w:rFonts w:ascii="Century Gothic" w:hAnsi="Century Gothic"/>
        </w:rPr>
        <w:t xml:space="preserve"> y dar </w:t>
      </w:r>
      <w:r w:rsidR="004E07D7" w:rsidRPr="006720DB">
        <w:rPr>
          <w:rFonts w:ascii="Century Gothic" w:hAnsi="Century Gothic"/>
        </w:rPr>
        <w:t>seguimiento a los trabajos</w:t>
      </w:r>
      <w:r w:rsidR="00982EA0" w:rsidRPr="006720DB">
        <w:rPr>
          <w:rFonts w:ascii="Century Gothic" w:hAnsi="Century Gothic"/>
        </w:rPr>
        <w:t xml:space="preserve"> que resulten del </w:t>
      </w:r>
      <w:r w:rsidR="00FF486B" w:rsidRPr="006720DB">
        <w:rPr>
          <w:rFonts w:ascii="Century Gothic" w:hAnsi="Century Gothic"/>
        </w:rPr>
        <w:t>contrato correspondiente</w:t>
      </w:r>
      <w:r w:rsidR="0053401D" w:rsidRPr="006720DB">
        <w:rPr>
          <w:rFonts w:ascii="Century Gothic" w:hAnsi="Century Gothic"/>
        </w:rPr>
        <w:t>, así como</w:t>
      </w:r>
      <w:r w:rsidR="00940A2B" w:rsidRPr="006720DB">
        <w:rPr>
          <w:rFonts w:ascii="Century Gothic" w:hAnsi="Century Gothic"/>
        </w:rPr>
        <w:t xml:space="preserve"> de</w:t>
      </w:r>
      <w:r w:rsidR="0053401D" w:rsidRPr="006720DB">
        <w:rPr>
          <w:rFonts w:ascii="Century Gothic" w:hAnsi="Century Gothic"/>
        </w:rPr>
        <w:t>:</w:t>
      </w:r>
    </w:p>
    <w:p w14:paraId="1BE21360" w14:textId="379C83AC" w:rsidR="00E30D84" w:rsidRPr="00A51C0E" w:rsidRDefault="00C4524B" w:rsidP="00A51C0E">
      <w:pPr>
        <w:pStyle w:val="Prrafodelista"/>
        <w:numPr>
          <w:ilvl w:val="0"/>
          <w:numId w:val="12"/>
        </w:numPr>
        <w:spacing w:line="276" w:lineRule="auto"/>
        <w:contextualSpacing w:val="0"/>
        <w:jc w:val="both"/>
        <w:rPr>
          <w:rFonts w:ascii="Century Gothic" w:hAnsi="Century Gothic"/>
        </w:rPr>
      </w:pPr>
      <w:r w:rsidRPr="006720DB">
        <w:rPr>
          <w:rFonts w:ascii="Century Gothic" w:hAnsi="Century Gothic"/>
        </w:rPr>
        <w:t>Fungir como enlace entre la unidad responsable d</w:t>
      </w:r>
      <w:r w:rsidR="00A0232B" w:rsidRPr="006720DB">
        <w:rPr>
          <w:rFonts w:ascii="Century Gothic" w:hAnsi="Century Gothic"/>
        </w:rPr>
        <w:t>el</w:t>
      </w:r>
      <w:r w:rsidRPr="006720DB">
        <w:rPr>
          <w:rFonts w:ascii="Century Gothic" w:hAnsi="Century Gothic"/>
        </w:rPr>
        <w:t xml:space="preserve"> o los programas presupuestarios para el suministro de información al evaluador externo</w:t>
      </w:r>
      <w:r w:rsidR="001564D0" w:rsidRPr="006720DB">
        <w:rPr>
          <w:rFonts w:ascii="Century Gothic" w:hAnsi="Century Gothic"/>
        </w:rPr>
        <w:t>;</w:t>
      </w:r>
    </w:p>
    <w:p w14:paraId="4283E547" w14:textId="7A725493" w:rsidR="00E30D84" w:rsidRPr="00A51C0E" w:rsidRDefault="00B219BC" w:rsidP="00A51C0E">
      <w:pPr>
        <w:pStyle w:val="Prrafodelista"/>
        <w:numPr>
          <w:ilvl w:val="0"/>
          <w:numId w:val="12"/>
        </w:numPr>
        <w:spacing w:line="276" w:lineRule="auto"/>
        <w:contextualSpacing w:val="0"/>
        <w:jc w:val="both"/>
        <w:rPr>
          <w:rFonts w:ascii="Century Gothic" w:hAnsi="Century Gothic"/>
        </w:rPr>
      </w:pPr>
      <w:r w:rsidRPr="006720DB">
        <w:rPr>
          <w:rFonts w:ascii="Century Gothic" w:hAnsi="Century Gothic"/>
        </w:rPr>
        <w:t xml:space="preserve">Verificar </w:t>
      </w:r>
      <w:r w:rsidR="00940A2B" w:rsidRPr="006720DB">
        <w:rPr>
          <w:rFonts w:ascii="Century Gothic" w:hAnsi="Century Gothic"/>
        </w:rPr>
        <w:t xml:space="preserve">que el proveedor externo contratado, se apegue a los Términos </w:t>
      </w:r>
      <w:r w:rsidRPr="006720DB">
        <w:rPr>
          <w:rFonts w:ascii="Century Gothic" w:hAnsi="Century Gothic"/>
        </w:rPr>
        <w:t>d</w:t>
      </w:r>
      <w:r w:rsidR="00940A2B" w:rsidRPr="006720DB">
        <w:rPr>
          <w:rFonts w:ascii="Century Gothic" w:hAnsi="Century Gothic"/>
        </w:rPr>
        <w:t xml:space="preserve">e </w:t>
      </w:r>
      <w:r w:rsidRPr="006720DB">
        <w:rPr>
          <w:rFonts w:ascii="Century Gothic" w:hAnsi="Century Gothic"/>
        </w:rPr>
        <w:t>R</w:t>
      </w:r>
      <w:r w:rsidR="00940A2B" w:rsidRPr="006720DB">
        <w:rPr>
          <w:rFonts w:ascii="Century Gothic" w:hAnsi="Century Gothic"/>
        </w:rPr>
        <w:t xml:space="preserve">eferencia definidos para el </w:t>
      </w:r>
      <w:r w:rsidR="006F079A" w:rsidRPr="006720DB">
        <w:rPr>
          <w:rFonts w:ascii="Century Gothic" w:hAnsi="Century Gothic"/>
        </w:rPr>
        <w:t>desarrollo</w:t>
      </w:r>
      <w:r w:rsidR="00940A2B" w:rsidRPr="006720DB">
        <w:rPr>
          <w:rFonts w:ascii="Century Gothic" w:hAnsi="Century Gothic"/>
        </w:rPr>
        <w:t xml:space="preserve"> de las </w:t>
      </w:r>
      <w:r w:rsidR="006F079A" w:rsidRPr="006720DB">
        <w:rPr>
          <w:rFonts w:ascii="Century Gothic" w:hAnsi="Century Gothic"/>
        </w:rPr>
        <w:t>evaluaciones</w:t>
      </w:r>
      <w:r w:rsidRPr="006720DB">
        <w:rPr>
          <w:rFonts w:ascii="Century Gothic" w:hAnsi="Century Gothic"/>
        </w:rPr>
        <w:t xml:space="preserve">, </w:t>
      </w:r>
      <w:r w:rsidR="006F079A" w:rsidRPr="006720DB">
        <w:rPr>
          <w:rFonts w:ascii="Century Gothic" w:hAnsi="Century Gothic"/>
        </w:rPr>
        <w:t>y verificar que</w:t>
      </w:r>
      <w:r w:rsidR="00987E61" w:rsidRPr="006720DB">
        <w:rPr>
          <w:rFonts w:ascii="Century Gothic" w:hAnsi="Century Gothic"/>
        </w:rPr>
        <w:t xml:space="preserve"> dicha actividad cumpla con </w:t>
      </w:r>
      <w:r w:rsidRPr="006720DB">
        <w:rPr>
          <w:rFonts w:ascii="Century Gothic" w:hAnsi="Century Gothic"/>
        </w:rPr>
        <w:t>los plazos establecidos en el cronograma de ejecución del PAE 202</w:t>
      </w:r>
      <w:r w:rsidR="00633403">
        <w:rPr>
          <w:rFonts w:ascii="Century Gothic" w:hAnsi="Century Gothic"/>
        </w:rPr>
        <w:t>5</w:t>
      </w:r>
      <w:r w:rsidRPr="006720DB">
        <w:rPr>
          <w:rFonts w:ascii="Century Gothic" w:hAnsi="Century Gothic"/>
        </w:rPr>
        <w:t>;</w:t>
      </w:r>
    </w:p>
    <w:p w14:paraId="3641DF61" w14:textId="4D09076D" w:rsidR="00E30D84" w:rsidRPr="00A51C0E" w:rsidRDefault="003C5635" w:rsidP="00A51C0E">
      <w:pPr>
        <w:pStyle w:val="Prrafodelista"/>
        <w:numPr>
          <w:ilvl w:val="0"/>
          <w:numId w:val="12"/>
        </w:numPr>
        <w:spacing w:line="276" w:lineRule="auto"/>
        <w:contextualSpacing w:val="0"/>
        <w:jc w:val="both"/>
        <w:rPr>
          <w:rFonts w:ascii="Century Gothic" w:hAnsi="Century Gothic"/>
        </w:rPr>
      </w:pPr>
      <w:r w:rsidRPr="006720DB">
        <w:rPr>
          <w:rFonts w:ascii="Century Gothic" w:hAnsi="Century Gothic"/>
        </w:rPr>
        <w:lastRenderedPageBreak/>
        <w:t>Coordinar las reuniones que sean necesarias, en su caso, entre el evaluador externo y la unidad responsables de los programas para el cumplimiento del PAE</w:t>
      </w:r>
      <w:r w:rsidR="001564D0" w:rsidRPr="006720DB">
        <w:rPr>
          <w:rFonts w:ascii="Century Gothic" w:hAnsi="Century Gothic"/>
        </w:rPr>
        <w:t>;</w:t>
      </w:r>
    </w:p>
    <w:p w14:paraId="3E0D5F63" w14:textId="176102B9" w:rsidR="00E30D84" w:rsidRPr="00A51C0E" w:rsidRDefault="00702860" w:rsidP="00A51C0E">
      <w:pPr>
        <w:pStyle w:val="Prrafodelista"/>
        <w:numPr>
          <w:ilvl w:val="0"/>
          <w:numId w:val="12"/>
        </w:numPr>
        <w:spacing w:line="276" w:lineRule="auto"/>
        <w:contextualSpacing w:val="0"/>
        <w:jc w:val="both"/>
        <w:rPr>
          <w:rFonts w:ascii="Century Gothic" w:hAnsi="Century Gothic"/>
        </w:rPr>
      </w:pPr>
      <w:r w:rsidRPr="006720DB">
        <w:rPr>
          <w:rFonts w:ascii="Century Gothic" w:hAnsi="Century Gothic"/>
        </w:rPr>
        <w:t>Revisar los resultados y aprobar los productos que deriven de las evaluaciones antes de aceptarlos a entera satisfacción, para lo cual podrá solicitar opinión de las Unidades Responsables de los Programas presupuestarios;</w:t>
      </w:r>
    </w:p>
    <w:p w14:paraId="4075D06B" w14:textId="2A17FA2E" w:rsidR="00E30D84" w:rsidRPr="00A51C0E" w:rsidRDefault="00C4524B" w:rsidP="00A51C0E">
      <w:pPr>
        <w:pStyle w:val="Prrafodelista"/>
        <w:numPr>
          <w:ilvl w:val="0"/>
          <w:numId w:val="12"/>
        </w:numPr>
        <w:spacing w:line="276" w:lineRule="auto"/>
        <w:contextualSpacing w:val="0"/>
        <w:jc w:val="both"/>
        <w:rPr>
          <w:rFonts w:ascii="Century Gothic" w:hAnsi="Century Gothic"/>
        </w:rPr>
      </w:pPr>
      <w:r w:rsidRPr="006720DB">
        <w:rPr>
          <w:rFonts w:ascii="Century Gothic" w:hAnsi="Century Gothic"/>
        </w:rPr>
        <w:t>Informar a la Dependencia Encargada de las Finanzas Públicas Municipales</w:t>
      </w:r>
      <w:r w:rsidR="003C5635" w:rsidRPr="006720DB">
        <w:rPr>
          <w:rFonts w:ascii="Century Gothic" w:hAnsi="Century Gothic"/>
        </w:rPr>
        <w:t xml:space="preserve"> d</w:t>
      </w:r>
      <w:r w:rsidRPr="006720DB">
        <w:rPr>
          <w:rFonts w:ascii="Century Gothic" w:hAnsi="Century Gothic"/>
        </w:rPr>
        <w:t>e los resultados de las evoluciones practicadas a</w:t>
      </w:r>
      <w:r w:rsidR="003C5635" w:rsidRPr="006720DB">
        <w:rPr>
          <w:rFonts w:ascii="Century Gothic" w:hAnsi="Century Gothic"/>
        </w:rPr>
        <w:t xml:space="preserve"> los programas presupuestarios, para que </w:t>
      </w:r>
      <w:r w:rsidR="00987E61" w:rsidRPr="006720DB">
        <w:rPr>
          <w:rFonts w:ascii="Century Gothic" w:hAnsi="Century Gothic"/>
        </w:rPr>
        <w:t xml:space="preserve">esta </w:t>
      </w:r>
      <w:r w:rsidR="003C5635" w:rsidRPr="006720DB">
        <w:rPr>
          <w:rFonts w:ascii="Century Gothic" w:hAnsi="Century Gothic"/>
        </w:rPr>
        <w:t>lleve a cabo lo co</w:t>
      </w:r>
      <w:r w:rsidR="0027530A" w:rsidRPr="006720DB">
        <w:rPr>
          <w:rFonts w:ascii="Century Gothic" w:hAnsi="Century Gothic"/>
        </w:rPr>
        <w:t>rrespondiente</w:t>
      </w:r>
      <w:r w:rsidR="00A30681">
        <w:rPr>
          <w:rFonts w:ascii="Century Gothic" w:hAnsi="Century Gothic"/>
        </w:rPr>
        <w:t>;</w:t>
      </w:r>
    </w:p>
    <w:p w14:paraId="5E9FE813" w14:textId="2F82E531" w:rsidR="00E30D84" w:rsidRPr="00A51C0E" w:rsidRDefault="004F16D7" w:rsidP="00A51C0E">
      <w:pPr>
        <w:pStyle w:val="Prrafodelista"/>
        <w:numPr>
          <w:ilvl w:val="0"/>
          <w:numId w:val="12"/>
        </w:numPr>
        <w:spacing w:line="276" w:lineRule="auto"/>
        <w:contextualSpacing w:val="0"/>
        <w:jc w:val="both"/>
        <w:rPr>
          <w:rFonts w:ascii="Century Gothic" w:hAnsi="Century Gothic"/>
        </w:rPr>
      </w:pPr>
      <w:r w:rsidRPr="006720DB">
        <w:rPr>
          <w:rFonts w:ascii="Century Gothic" w:hAnsi="Century Gothic"/>
        </w:rPr>
        <w:t>De conformidad con los hallazgos y recomendaciones emiti</w:t>
      </w:r>
      <w:r w:rsidR="00A42B67" w:rsidRPr="006720DB">
        <w:rPr>
          <w:rFonts w:ascii="Century Gothic" w:hAnsi="Century Gothic"/>
        </w:rPr>
        <w:t>das en cada una de las evaluaciones practicadas, en conjunto con las Unidades Responsables de cada Programa presupuestario,</w:t>
      </w:r>
      <w:r w:rsidR="001E7B12" w:rsidRPr="006720DB">
        <w:rPr>
          <w:rFonts w:ascii="Century Gothic" w:hAnsi="Century Gothic"/>
        </w:rPr>
        <w:t xml:space="preserve"> </w:t>
      </w:r>
      <w:r w:rsidR="009B4A03" w:rsidRPr="006720DB">
        <w:rPr>
          <w:rFonts w:ascii="Century Gothic" w:hAnsi="Century Gothic"/>
        </w:rPr>
        <w:t>identificar cuáles son susceptibles de formularse como Aspectos Susceptibles de Mejora</w:t>
      </w:r>
      <w:r w:rsidR="00F80187" w:rsidRPr="006720DB">
        <w:rPr>
          <w:rFonts w:ascii="Century Gothic" w:hAnsi="Century Gothic"/>
        </w:rPr>
        <w:t>;</w:t>
      </w:r>
      <w:r w:rsidR="00A30681">
        <w:rPr>
          <w:rFonts w:ascii="Century Gothic" w:hAnsi="Century Gothic"/>
        </w:rPr>
        <w:t xml:space="preserve"> y</w:t>
      </w:r>
    </w:p>
    <w:p w14:paraId="297AA2BA" w14:textId="29EEC621" w:rsidR="00794148" w:rsidRPr="006720DB" w:rsidRDefault="00794148" w:rsidP="00F1756A">
      <w:pPr>
        <w:pStyle w:val="Prrafodelista"/>
        <w:numPr>
          <w:ilvl w:val="0"/>
          <w:numId w:val="12"/>
        </w:numPr>
        <w:spacing w:line="276" w:lineRule="auto"/>
        <w:contextualSpacing w:val="0"/>
        <w:jc w:val="both"/>
        <w:rPr>
          <w:rFonts w:ascii="Century Gothic" w:hAnsi="Century Gothic"/>
        </w:rPr>
      </w:pPr>
      <w:r w:rsidRPr="006720DB">
        <w:rPr>
          <w:rFonts w:ascii="Century Gothic" w:hAnsi="Century Gothic"/>
        </w:rPr>
        <w:t>Ordena</w:t>
      </w:r>
      <w:r w:rsidR="00084BA9">
        <w:rPr>
          <w:rFonts w:ascii="Century Gothic" w:hAnsi="Century Gothic"/>
        </w:rPr>
        <w:t>r</w:t>
      </w:r>
      <w:r w:rsidRPr="006720DB">
        <w:rPr>
          <w:rFonts w:ascii="Century Gothic" w:hAnsi="Century Gothic"/>
        </w:rPr>
        <w:t xml:space="preserve"> la difusión en los medios correspondientes </w:t>
      </w:r>
      <w:r w:rsidR="00F80187" w:rsidRPr="006720DB">
        <w:rPr>
          <w:rFonts w:ascii="Century Gothic" w:hAnsi="Century Gothic"/>
        </w:rPr>
        <w:t>del o los documentos que contenga los resultados de las evaluaciones practicadas.</w:t>
      </w:r>
    </w:p>
    <w:p w14:paraId="48F1F83A" w14:textId="77777777" w:rsidR="001E279F" w:rsidRPr="006720DB" w:rsidRDefault="001E279F" w:rsidP="00F1756A">
      <w:pPr>
        <w:spacing w:line="276" w:lineRule="auto"/>
        <w:jc w:val="both"/>
        <w:rPr>
          <w:rFonts w:ascii="Century Gothic" w:hAnsi="Century Gothic"/>
          <w:b/>
          <w:bCs/>
        </w:rPr>
      </w:pPr>
    </w:p>
    <w:p w14:paraId="29C24FAB" w14:textId="1E5A8ED0" w:rsidR="00563F1D" w:rsidRPr="003E71BF" w:rsidRDefault="009742C3" w:rsidP="00F1756A">
      <w:pPr>
        <w:pStyle w:val="Prrafodelista"/>
        <w:numPr>
          <w:ilvl w:val="0"/>
          <w:numId w:val="10"/>
        </w:numPr>
        <w:spacing w:line="276" w:lineRule="auto"/>
        <w:contextualSpacing w:val="0"/>
        <w:jc w:val="both"/>
        <w:rPr>
          <w:rFonts w:ascii="Century Gothic" w:hAnsi="Century Gothic"/>
          <w:b/>
          <w:bCs/>
        </w:rPr>
      </w:pPr>
      <w:r w:rsidRPr="003E71BF">
        <w:rPr>
          <w:rFonts w:ascii="Century Gothic" w:hAnsi="Century Gothic"/>
          <w:b/>
          <w:bCs/>
        </w:rPr>
        <w:t>Responsabilidades de la</w:t>
      </w:r>
      <w:r w:rsidR="00F96149" w:rsidRPr="003E71BF">
        <w:rPr>
          <w:rFonts w:ascii="Century Gothic" w:hAnsi="Century Gothic"/>
          <w:b/>
          <w:bCs/>
        </w:rPr>
        <w:t>s Dependencias Municipales</w:t>
      </w:r>
      <w:r w:rsidR="003D3608">
        <w:rPr>
          <w:rFonts w:ascii="Century Gothic" w:hAnsi="Century Gothic"/>
          <w:b/>
          <w:bCs/>
        </w:rPr>
        <w:t xml:space="preserve"> a</w:t>
      </w:r>
      <w:r w:rsidR="00F96149" w:rsidRPr="003E71BF">
        <w:rPr>
          <w:rFonts w:ascii="Century Gothic" w:hAnsi="Century Gothic"/>
          <w:b/>
          <w:bCs/>
        </w:rPr>
        <w:t xml:space="preserve"> cargo</w:t>
      </w:r>
      <w:r w:rsidR="007B552C" w:rsidRPr="003E71BF">
        <w:rPr>
          <w:rFonts w:ascii="Century Gothic" w:hAnsi="Century Gothic"/>
          <w:b/>
          <w:bCs/>
        </w:rPr>
        <w:t xml:space="preserve"> de los Programas Presupuestarios</w:t>
      </w:r>
      <w:r w:rsidR="006310D7" w:rsidRPr="003E71BF">
        <w:rPr>
          <w:rFonts w:ascii="Century Gothic" w:hAnsi="Century Gothic"/>
          <w:b/>
          <w:bCs/>
        </w:rPr>
        <w:t>.</w:t>
      </w:r>
    </w:p>
    <w:p w14:paraId="002531C0" w14:textId="3769D75F" w:rsidR="006A37EE" w:rsidRPr="006720DB" w:rsidRDefault="006509BD" w:rsidP="00F1756A">
      <w:pPr>
        <w:spacing w:line="276" w:lineRule="auto"/>
        <w:jc w:val="both"/>
        <w:rPr>
          <w:rFonts w:ascii="Century Gothic" w:hAnsi="Century Gothic"/>
          <w:b/>
          <w:bCs/>
        </w:rPr>
      </w:pPr>
      <w:r w:rsidRPr="006720DB">
        <w:rPr>
          <w:rFonts w:ascii="Century Gothic" w:hAnsi="Century Gothic"/>
        </w:rPr>
        <w:t xml:space="preserve">Las unidades </w:t>
      </w:r>
      <w:r w:rsidR="00563F1D" w:rsidRPr="006720DB">
        <w:rPr>
          <w:rFonts w:ascii="Century Gothic" w:hAnsi="Century Gothic"/>
        </w:rPr>
        <w:t xml:space="preserve">responsables de cada </w:t>
      </w:r>
      <w:r w:rsidRPr="006720DB">
        <w:rPr>
          <w:rFonts w:ascii="Century Gothic" w:hAnsi="Century Gothic"/>
        </w:rPr>
        <w:t>programa</w:t>
      </w:r>
      <w:r w:rsidR="00563F1D" w:rsidRPr="006720DB">
        <w:rPr>
          <w:rFonts w:ascii="Century Gothic" w:hAnsi="Century Gothic"/>
        </w:rPr>
        <w:t xml:space="preserve"> presupuestario</w:t>
      </w:r>
      <w:r w:rsidRPr="006720DB">
        <w:rPr>
          <w:rFonts w:ascii="Century Gothic" w:hAnsi="Century Gothic"/>
        </w:rPr>
        <w:t xml:space="preserve"> son aquellas depende</w:t>
      </w:r>
      <w:r w:rsidR="001373B4" w:rsidRPr="006720DB">
        <w:rPr>
          <w:rFonts w:ascii="Century Gothic" w:hAnsi="Century Gothic"/>
        </w:rPr>
        <w:t>ncias</w:t>
      </w:r>
      <w:r w:rsidR="00D532A6" w:rsidRPr="006720DB">
        <w:rPr>
          <w:rFonts w:ascii="Century Gothic" w:hAnsi="Century Gothic"/>
        </w:rPr>
        <w:t xml:space="preserve"> encargadas de </w:t>
      </w:r>
      <w:r w:rsidR="006A37EE" w:rsidRPr="006720DB">
        <w:rPr>
          <w:rFonts w:ascii="Century Gothic" w:hAnsi="Century Gothic"/>
        </w:rPr>
        <w:t xml:space="preserve">darle </w:t>
      </w:r>
      <w:r w:rsidR="00F73FA6">
        <w:rPr>
          <w:rFonts w:ascii="Century Gothic" w:hAnsi="Century Gothic"/>
        </w:rPr>
        <w:t>seguimiento a los P</w:t>
      </w:r>
      <w:r w:rsidR="006A37EE" w:rsidRPr="006720DB">
        <w:rPr>
          <w:rFonts w:ascii="Century Gothic" w:hAnsi="Century Gothic"/>
        </w:rPr>
        <w:t>rogramas presupuestarios financiados con recursos públicos durante el ejercicio fiscal 202</w:t>
      </w:r>
      <w:r w:rsidR="00AF726A">
        <w:rPr>
          <w:rFonts w:ascii="Century Gothic" w:hAnsi="Century Gothic"/>
        </w:rPr>
        <w:t>4</w:t>
      </w:r>
      <w:r w:rsidR="006A37EE" w:rsidRPr="006720DB">
        <w:rPr>
          <w:rFonts w:ascii="Century Gothic" w:hAnsi="Century Gothic"/>
        </w:rPr>
        <w:t>,</w:t>
      </w:r>
      <w:r w:rsidR="009C212B">
        <w:rPr>
          <w:rFonts w:ascii="Century Gothic" w:hAnsi="Century Gothic"/>
        </w:rPr>
        <w:t xml:space="preserve"> es decir, </w:t>
      </w:r>
      <w:r w:rsidR="00585F7C">
        <w:rPr>
          <w:rFonts w:ascii="Century Gothic" w:hAnsi="Century Gothic"/>
        </w:rPr>
        <w:t>aquellos ejecutores del gasto referidos en el artículo</w:t>
      </w:r>
      <w:r w:rsidR="006A37EE" w:rsidRPr="006720DB">
        <w:rPr>
          <w:rFonts w:ascii="Century Gothic" w:hAnsi="Century Gothic"/>
        </w:rPr>
        <w:t xml:space="preserve"> </w:t>
      </w:r>
      <w:r w:rsidR="006F6A75">
        <w:rPr>
          <w:rFonts w:ascii="Century Gothic" w:hAnsi="Century Gothic"/>
        </w:rPr>
        <w:t xml:space="preserve">54 de la </w:t>
      </w:r>
      <w:r w:rsidR="00D339C9" w:rsidRPr="00D339C9">
        <w:rPr>
          <w:rFonts w:ascii="Century Gothic" w:hAnsi="Century Gothic"/>
        </w:rPr>
        <w:t>Ley para el Manejo de los Recursos Públicos del Estado de Querétaro</w:t>
      </w:r>
      <w:r w:rsidR="00D339C9">
        <w:rPr>
          <w:rFonts w:ascii="Century Gothic" w:hAnsi="Century Gothic"/>
        </w:rPr>
        <w:t>,</w:t>
      </w:r>
      <w:r w:rsidR="006F6A75">
        <w:rPr>
          <w:rFonts w:ascii="Century Gothic" w:hAnsi="Century Gothic"/>
        </w:rPr>
        <w:t xml:space="preserve"> </w:t>
      </w:r>
      <w:r w:rsidR="006A37EE" w:rsidRPr="006720DB">
        <w:rPr>
          <w:rFonts w:ascii="Century Gothic" w:hAnsi="Century Gothic"/>
        </w:rPr>
        <w:t>l</w:t>
      </w:r>
      <w:r w:rsidR="00D339C9">
        <w:rPr>
          <w:rFonts w:ascii="Century Gothic" w:hAnsi="Century Gothic"/>
        </w:rPr>
        <w:t>o</w:t>
      </w:r>
      <w:r w:rsidR="006A37EE" w:rsidRPr="006720DB">
        <w:rPr>
          <w:rFonts w:ascii="Century Gothic" w:hAnsi="Century Gothic"/>
        </w:rPr>
        <w:t xml:space="preserve">s cuales tendrán </w:t>
      </w:r>
      <w:r w:rsidR="0076365F" w:rsidRPr="006720DB">
        <w:rPr>
          <w:rFonts w:ascii="Century Gothic" w:hAnsi="Century Gothic"/>
        </w:rPr>
        <w:t>las siguientes obligaciones</w:t>
      </w:r>
      <w:r w:rsidR="006A37EE" w:rsidRPr="006720DB">
        <w:rPr>
          <w:rFonts w:ascii="Century Gothic" w:hAnsi="Century Gothic"/>
        </w:rPr>
        <w:t>:</w:t>
      </w:r>
    </w:p>
    <w:p w14:paraId="29A51EFC" w14:textId="1281611F" w:rsidR="00810BE5" w:rsidRPr="00A51C0E" w:rsidRDefault="006A37EE" w:rsidP="00A51C0E">
      <w:pPr>
        <w:pStyle w:val="Prrafodelista"/>
        <w:numPr>
          <w:ilvl w:val="0"/>
          <w:numId w:val="9"/>
        </w:numPr>
        <w:spacing w:line="276" w:lineRule="auto"/>
        <w:contextualSpacing w:val="0"/>
        <w:jc w:val="both"/>
        <w:rPr>
          <w:rFonts w:ascii="Century Gothic" w:hAnsi="Century Gothic"/>
        </w:rPr>
      </w:pPr>
      <w:r w:rsidRPr="006720DB">
        <w:rPr>
          <w:rFonts w:ascii="Century Gothic" w:hAnsi="Century Gothic"/>
        </w:rPr>
        <w:t xml:space="preserve">Suministrar la información </w:t>
      </w:r>
      <w:r w:rsidR="00536DB1" w:rsidRPr="006720DB">
        <w:rPr>
          <w:rFonts w:ascii="Century Gothic" w:hAnsi="Century Gothic"/>
        </w:rPr>
        <w:t xml:space="preserve">solicitada a través de los </w:t>
      </w:r>
      <w:r w:rsidR="00EF2699" w:rsidRPr="006720DB">
        <w:rPr>
          <w:rFonts w:ascii="Century Gothic" w:hAnsi="Century Gothic"/>
        </w:rPr>
        <w:t>Términos</w:t>
      </w:r>
      <w:r w:rsidR="00536DB1" w:rsidRPr="006720DB">
        <w:rPr>
          <w:rFonts w:ascii="Century Gothic" w:hAnsi="Century Gothic"/>
        </w:rPr>
        <w:t xml:space="preserve"> de Referencia </w:t>
      </w:r>
      <w:r w:rsidR="00D04759" w:rsidRPr="006720DB">
        <w:rPr>
          <w:rFonts w:ascii="Century Gothic" w:hAnsi="Century Gothic"/>
        </w:rPr>
        <w:t xml:space="preserve">aprobados para la ejecución de las evaluaciones </w:t>
      </w:r>
      <w:r w:rsidR="00E11E7D">
        <w:rPr>
          <w:rFonts w:ascii="Century Gothic" w:hAnsi="Century Gothic"/>
        </w:rPr>
        <w:t xml:space="preserve">en coordinación con </w:t>
      </w:r>
      <w:r w:rsidR="00D04759" w:rsidRPr="006720DB">
        <w:rPr>
          <w:rFonts w:ascii="Century Gothic" w:hAnsi="Century Gothic"/>
        </w:rPr>
        <w:t xml:space="preserve">el </w:t>
      </w:r>
      <w:r w:rsidR="005E4821">
        <w:rPr>
          <w:rFonts w:ascii="Century Gothic" w:hAnsi="Century Gothic"/>
        </w:rPr>
        <w:t>Órgano Interno de Control</w:t>
      </w:r>
      <w:r w:rsidR="00B1136B">
        <w:rPr>
          <w:rFonts w:ascii="Century Gothic" w:hAnsi="Century Gothic"/>
        </w:rPr>
        <w:t>;</w:t>
      </w:r>
    </w:p>
    <w:p w14:paraId="7AAE691C" w14:textId="764276DB" w:rsidR="00810BE5" w:rsidRPr="00A51C0E" w:rsidRDefault="00EF2699" w:rsidP="00A51C0E">
      <w:pPr>
        <w:pStyle w:val="Prrafodelista"/>
        <w:numPr>
          <w:ilvl w:val="0"/>
          <w:numId w:val="9"/>
        </w:numPr>
        <w:spacing w:line="276" w:lineRule="auto"/>
        <w:contextualSpacing w:val="0"/>
        <w:jc w:val="both"/>
        <w:rPr>
          <w:rFonts w:ascii="Century Gothic" w:hAnsi="Century Gothic"/>
        </w:rPr>
      </w:pPr>
      <w:r w:rsidRPr="006720DB">
        <w:rPr>
          <w:rFonts w:ascii="Century Gothic" w:hAnsi="Century Gothic"/>
        </w:rPr>
        <w:t>Designar</w:t>
      </w:r>
      <w:r w:rsidR="00536DB1" w:rsidRPr="006720DB">
        <w:rPr>
          <w:rFonts w:ascii="Century Gothic" w:hAnsi="Century Gothic"/>
        </w:rPr>
        <w:t xml:space="preserve"> a un enlace de </w:t>
      </w:r>
      <w:r w:rsidR="003144D5" w:rsidRPr="006720DB">
        <w:rPr>
          <w:rFonts w:ascii="Century Gothic" w:hAnsi="Century Gothic"/>
        </w:rPr>
        <w:t>la dependencia</w:t>
      </w:r>
      <w:r w:rsidR="00536DB1" w:rsidRPr="006720DB">
        <w:rPr>
          <w:rFonts w:ascii="Century Gothic" w:hAnsi="Century Gothic"/>
        </w:rPr>
        <w:t xml:space="preserve"> </w:t>
      </w:r>
      <w:r w:rsidR="002A063F" w:rsidRPr="006720DB">
        <w:rPr>
          <w:rFonts w:ascii="Century Gothic" w:hAnsi="Century Gothic"/>
        </w:rPr>
        <w:t xml:space="preserve">encargado de </w:t>
      </w:r>
      <w:r w:rsidRPr="006720DB">
        <w:rPr>
          <w:rFonts w:ascii="Century Gothic" w:hAnsi="Century Gothic"/>
        </w:rPr>
        <w:t>la gestión, acopio y entrega de la información solicitada a través de los T</w:t>
      </w:r>
      <w:r w:rsidR="002A063F" w:rsidRPr="006720DB">
        <w:rPr>
          <w:rFonts w:ascii="Century Gothic" w:hAnsi="Century Gothic"/>
        </w:rPr>
        <w:t>é</w:t>
      </w:r>
      <w:r w:rsidRPr="006720DB">
        <w:rPr>
          <w:rFonts w:ascii="Century Gothic" w:hAnsi="Century Gothic"/>
        </w:rPr>
        <w:t>rminos de Referencia</w:t>
      </w:r>
      <w:r w:rsidR="00C22836">
        <w:rPr>
          <w:rFonts w:ascii="Century Gothic" w:hAnsi="Century Gothic"/>
        </w:rPr>
        <w:t>, así como de darle seguimiento a los resultados de la evaluación</w:t>
      </w:r>
      <w:r w:rsidR="00367BED">
        <w:rPr>
          <w:rFonts w:ascii="Century Gothic" w:hAnsi="Century Gothic"/>
        </w:rPr>
        <w:t>, y</w:t>
      </w:r>
      <w:r w:rsidR="00B1136B">
        <w:rPr>
          <w:rFonts w:ascii="Century Gothic" w:hAnsi="Century Gothic"/>
        </w:rPr>
        <w:t>;</w:t>
      </w:r>
    </w:p>
    <w:p w14:paraId="00CF20CD" w14:textId="6303EFB5" w:rsidR="00B2134F" w:rsidRPr="006720DB" w:rsidRDefault="00E16CE2" w:rsidP="00F1756A">
      <w:pPr>
        <w:pStyle w:val="Prrafodelista"/>
        <w:numPr>
          <w:ilvl w:val="0"/>
          <w:numId w:val="9"/>
        </w:numPr>
        <w:spacing w:line="276" w:lineRule="auto"/>
        <w:contextualSpacing w:val="0"/>
        <w:jc w:val="both"/>
        <w:rPr>
          <w:rFonts w:ascii="Century Gothic" w:hAnsi="Century Gothic"/>
        </w:rPr>
      </w:pPr>
      <w:r w:rsidRPr="006720DB">
        <w:rPr>
          <w:rFonts w:ascii="Century Gothic" w:hAnsi="Century Gothic"/>
        </w:rPr>
        <w:t xml:space="preserve">Retomar los hallazgos y recomendaciones derivadas de las evoluciones de desempeño practicadas </w:t>
      </w:r>
      <w:r w:rsidR="00B2134F" w:rsidRPr="006720DB">
        <w:rPr>
          <w:rFonts w:ascii="Century Gothic" w:hAnsi="Century Gothic"/>
        </w:rPr>
        <w:t>para la elaboración de los Aspectos Susceptibles de Mejora</w:t>
      </w:r>
      <w:r w:rsidR="00C22836">
        <w:rPr>
          <w:rFonts w:ascii="Century Gothic" w:hAnsi="Century Gothic"/>
        </w:rPr>
        <w:t xml:space="preserve"> de sus </w:t>
      </w:r>
      <w:r w:rsidR="00ED087B">
        <w:rPr>
          <w:rFonts w:ascii="Century Gothic" w:hAnsi="Century Gothic"/>
        </w:rPr>
        <w:t>respectivos Programas presupuestarios</w:t>
      </w:r>
      <w:r w:rsidR="00B2134F" w:rsidRPr="006720DB">
        <w:rPr>
          <w:rFonts w:ascii="Century Gothic" w:hAnsi="Century Gothic"/>
        </w:rPr>
        <w:t>.</w:t>
      </w:r>
    </w:p>
    <w:p w14:paraId="39BBB5FF" w14:textId="1385BDCE" w:rsidR="005803C3" w:rsidRPr="006720DB" w:rsidRDefault="005803C3" w:rsidP="00F1756A">
      <w:pPr>
        <w:spacing w:line="276" w:lineRule="auto"/>
        <w:jc w:val="both"/>
        <w:rPr>
          <w:rFonts w:ascii="Century Gothic" w:hAnsi="Century Gothic"/>
        </w:rPr>
      </w:pPr>
    </w:p>
    <w:p w14:paraId="2D763441" w14:textId="3AED6501" w:rsidR="002F5B9F" w:rsidRPr="006720DB" w:rsidRDefault="002F5B9F" w:rsidP="00F1756A">
      <w:pPr>
        <w:spacing w:line="276" w:lineRule="auto"/>
        <w:jc w:val="both"/>
        <w:rPr>
          <w:rFonts w:ascii="Century Gothic" w:hAnsi="Century Gothic"/>
          <w:b/>
          <w:bCs/>
        </w:rPr>
        <w:sectPr w:rsidR="002F5B9F" w:rsidRPr="006720DB" w:rsidSect="00F71A65">
          <w:headerReference w:type="default" r:id="rId7"/>
          <w:footerReference w:type="default" r:id="rId8"/>
          <w:pgSz w:w="12240" w:h="15840"/>
          <w:pgMar w:top="832" w:right="1701" w:bottom="1417" w:left="1701" w:header="708" w:footer="277" w:gutter="0"/>
          <w:cols w:space="708"/>
          <w:docGrid w:linePitch="360"/>
        </w:sectPr>
      </w:pPr>
    </w:p>
    <w:p w14:paraId="0499F332" w14:textId="3E918D09" w:rsidR="006A70A4" w:rsidRPr="006720DB" w:rsidRDefault="00A2401E" w:rsidP="00F1756A">
      <w:pPr>
        <w:pStyle w:val="Prrafodelista"/>
        <w:numPr>
          <w:ilvl w:val="0"/>
          <w:numId w:val="10"/>
        </w:numPr>
        <w:spacing w:line="276" w:lineRule="auto"/>
        <w:contextualSpacing w:val="0"/>
        <w:jc w:val="both"/>
        <w:rPr>
          <w:rFonts w:ascii="Century Gothic" w:hAnsi="Century Gothic"/>
          <w:b/>
          <w:bCs/>
        </w:rPr>
      </w:pPr>
      <w:r w:rsidRPr="006720DB">
        <w:rPr>
          <w:rFonts w:ascii="Century Gothic" w:hAnsi="Century Gothic"/>
          <w:b/>
          <w:bCs/>
        </w:rPr>
        <w:lastRenderedPageBreak/>
        <w:t xml:space="preserve">Programa Anual de Evaluación del Municipio de </w:t>
      </w:r>
      <w:r w:rsidR="00F53601">
        <w:rPr>
          <w:rFonts w:ascii="Century Gothic" w:hAnsi="Century Gothic"/>
          <w:b/>
          <w:bCs/>
        </w:rPr>
        <w:t>San Juan del Río</w:t>
      </w:r>
      <w:r w:rsidR="00F1756A">
        <w:rPr>
          <w:rFonts w:ascii="Century Gothic" w:hAnsi="Century Gothic"/>
          <w:b/>
          <w:bCs/>
        </w:rPr>
        <w:t xml:space="preserve"> </w:t>
      </w:r>
      <w:r w:rsidRPr="006720DB">
        <w:rPr>
          <w:rFonts w:ascii="Century Gothic" w:hAnsi="Century Gothic"/>
          <w:b/>
          <w:bCs/>
        </w:rPr>
        <w:t>del año 202</w:t>
      </w:r>
      <w:r w:rsidR="00367BED">
        <w:rPr>
          <w:rFonts w:ascii="Century Gothic" w:hAnsi="Century Gothic"/>
          <w:b/>
          <w:bCs/>
        </w:rPr>
        <w:t>5</w:t>
      </w:r>
      <w:r w:rsidR="00B248ED">
        <w:rPr>
          <w:rFonts w:ascii="Century Gothic" w:hAnsi="Century Gothic"/>
          <w:b/>
          <w:bCs/>
        </w:rPr>
        <w:t>.</w:t>
      </w:r>
    </w:p>
    <w:tbl>
      <w:tblPr>
        <w:tblStyle w:val="Tablaconcuadrcula"/>
        <w:tblW w:w="12753" w:type="dxa"/>
        <w:jc w:val="center"/>
        <w:tblLook w:val="04A0" w:firstRow="1" w:lastRow="0" w:firstColumn="1" w:lastColumn="0" w:noHBand="0" w:noVBand="1"/>
      </w:tblPr>
      <w:tblGrid>
        <w:gridCol w:w="2121"/>
        <w:gridCol w:w="1422"/>
        <w:gridCol w:w="1584"/>
        <w:gridCol w:w="3344"/>
        <w:gridCol w:w="1447"/>
        <w:gridCol w:w="1646"/>
        <w:gridCol w:w="1189"/>
      </w:tblGrid>
      <w:tr w:rsidR="009D42A7" w:rsidRPr="006720DB" w14:paraId="06042E4F" w14:textId="77777777" w:rsidTr="003A0572">
        <w:trPr>
          <w:tblHeader/>
          <w:jc w:val="center"/>
        </w:trPr>
        <w:tc>
          <w:tcPr>
            <w:tcW w:w="12753" w:type="dxa"/>
            <w:gridSpan w:val="7"/>
            <w:shd w:val="clear" w:color="auto" w:fill="BFBFBF" w:themeFill="background1" w:themeFillShade="BF"/>
            <w:vAlign w:val="center"/>
          </w:tcPr>
          <w:p w14:paraId="5FB18CD8" w14:textId="2A35F2B1" w:rsidR="00B8616E" w:rsidRDefault="00B8616E" w:rsidP="003A0572">
            <w:pPr>
              <w:spacing w:line="276" w:lineRule="auto"/>
              <w:jc w:val="center"/>
              <w:rPr>
                <w:rFonts w:ascii="Century Gothic" w:hAnsi="Century Gothic"/>
                <w:b/>
                <w:bCs/>
              </w:rPr>
            </w:pPr>
            <w:r>
              <w:rPr>
                <w:rFonts w:ascii="Century Gothic" w:hAnsi="Century Gothic"/>
                <w:b/>
                <w:bCs/>
              </w:rPr>
              <w:t>Tabla 1</w:t>
            </w:r>
          </w:p>
          <w:p w14:paraId="1823BDEC" w14:textId="59CE3BDE" w:rsidR="009D42A7" w:rsidRPr="006720DB" w:rsidRDefault="009D42A7" w:rsidP="003A0572">
            <w:pPr>
              <w:spacing w:line="276" w:lineRule="auto"/>
              <w:jc w:val="center"/>
              <w:rPr>
                <w:rFonts w:ascii="Century Gothic" w:hAnsi="Century Gothic"/>
                <w:b/>
                <w:bCs/>
              </w:rPr>
            </w:pPr>
            <w:r w:rsidRPr="006720DB">
              <w:rPr>
                <w:rFonts w:ascii="Century Gothic" w:hAnsi="Century Gothic"/>
                <w:b/>
                <w:bCs/>
              </w:rPr>
              <w:t>Programa Anual de Evaluación 202</w:t>
            </w:r>
            <w:r w:rsidR="00367BED">
              <w:rPr>
                <w:rFonts w:ascii="Century Gothic" w:hAnsi="Century Gothic"/>
                <w:b/>
                <w:bCs/>
              </w:rPr>
              <w:t>5</w:t>
            </w:r>
          </w:p>
          <w:p w14:paraId="7C132876" w14:textId="6410E0C3" w:rsidR="009D42A7" w:rsidRPr="006720DB" w:rsidRDefault="009D42A7" w:rsidP="003A0572">
            <w:pPr>
              <w:spacing w:line="276" w:lineRule="auto"/>
              <w:jc w:val="center"/>
              <w:rPr>
                <w:rFonts w:ascii="Century Gothic" w:hAnsi="Century Gothic"/>
                <w:b/>
                <w:bCs/>
              </w:rPr>
            </w:pPr>
            <w:r w:rsidRPr="006720DB">
              <w:rPr>
                <w:rFonts w:ascii="Century Gothic" w:hAnsi="Century Gothic"/>
                <w:b/>
                <w:bCs/>
              </w:rPr>
              <w:t xml:space="preserve">Municipio de </w:t>
            </w:r>
            <w:r w:rsidR="003A0572">
              <w:rPr>
                <w:rFonts w:ascii="Century Gothic" w:hAnsi="Century Gothic"/>
                <w:b/>
                <w:bCs/>
              </w:rPr>
              <w:t>San Juan del Río</w:t>
            </w:r>
            <w:r w:rsidRPr="006720DB">
              <w:rPr>
                <w:rFonts w:ascii="Century Gothic" w:hAnsi="Century Gothic"/>
                <w:b/>
                <w:bCs/>
              </w:rPr>
              <w:t>, Querétaro.</w:t>
            </w:r>
          </w:p>
        </w:tc>
      </w:tr>
      <w:tr w:rsidR="00795902" w:rsidRPr="006720DB" w14:paraId="457422BF" w14:textId="77777777" w:rsidTr="000D7B78">
        <w:trPr>
          <w:tblHeader/>
          <w:jc w:val="center"/>
        </w:trPr>
        <w:tc>
          <w:tcPr>
            <w:tcW w:w="2121" w:type="dxa"/>
            <w:shd w:val="clear" w:color="auto" w:fill="BFBFBF" w:themeFill="background1" w:themeFillShade="BF"/>
            <w:vAlign w:val="center"/>
          </w:tcPr>
          <w:p w14:paraId="69712E7D" w14:textId="57FFD595" w:rsidR="009D42A7" w:rsidRPr="00191D46" w:rsidRDefault="009D42A7" w:rsidP="000D7B78">
            <w:pPr>
              <w:spacing w:line="276" w:lineRule="auto"/>
              <w:jc w:val="center"/>
              <w:rPr>
                <w:rFonts w:ascii="Century Gothic" w:hAnsi="Century Gothic"/>
                <w:b/>
                <w:bCs/>
                <w:sz w:val="20"/>
                <w:szCs w:val="20"/>
              </w:rPr>
            </w:pPr>
            <w:r w:rsidRPr="00191D46">
              <w:rPr>
                <w:rFonts w:ascii="Century Gothic" w:hAnsi="Century Gothic"/>
                <w:b/>
                <w:bCs/>
                <w:sz w:val="20"/>
                <w:szCs w:val="20"/>
              </w:rPr>
              <w:t>Nombre de</w:t>
            </w:r>
            <w:r w:rsidR="00EC3B28" w:rsidRPr="00191D46">
              <w:rPr>
                <w:rFonts w:ascii="Century Gothic" w:hAnsi="Century Gothic"/>
                <w:b/>
                <w:bCs/>
                <w:sz w:val="20"/>
                <w:szCs w:val="20"/>
              </w:rPr>
              <w:t>l</w:t>
            </w:r>
            <w:r w:rsidRPr="00191D46">
              <w:rPr>
                <w:rFonts w:ascii="Century Gothic" w:hAnsi="Century Gothic"/>
                <w:b/>
                <w:bCs/>
                <w:sz w:val="20"/>
                <w:szCs w:val="20"/>
              </w:rPr>
              <w:t xml:space="preserve"> Programa</w:t>
            </w:r>
          </w:p>
        </w:tc>
        <w:tc>
          <w:tcPr>
            <w:tcW w:w="1422" w:type="dxa"/>
            <w:shd w:val="clear" w:color="auto" w:fill="BFBFBF" w:themeFill="background1" w:themeFillShade="BF"/>
            <w:vAlign w:val="center"/>
          </w:tcPr>
          <w:p w14:paraId="55CA8B02" w14:textId="77777777" w:rsidR="009D42A7" w:rsidRPr="00191D46" w:rsidRDefault="009D42A7" w:rsidP="000D7B78">
            <w:pPr>
              <w:spacing w:line="276" w:lineRule="auto"/>
              <w:jc w:val="center"/>
              <w:rPr>
                <w:rFonts w:ascii="Century Gothic" w:hAnsi="Century Gothic"/>
                <w:b/>
                <w:bCs/>
                <w:sz w:val="20"/>
                <w:szCs w:val="20"/>
              </w:rPr>
            </w:pPr>
            <w:r w:rsidRPr="00191D46">
              <w:rPr>
                <w:rFonts w:ascii="Century Gothic" w:hAnsi="Century Gothic"/>
                <w:b/>
                <w:bCs/>
                <w:sz w:val="20"/>
                <w:szCs w:val="20"/>
              </w:rPr>
              <w:t>Tipo de evaluación</w:t>
            </w:r>
          </w:p>
        </w:tc>
        <w:tc>
          <w:tcPr>
            <w:tcW w:w="1584" w:type="dxa"/>
            <w:shd w:val="clear" w:color="auto" w:fill="BFBFBF" w:themeFill="background1" w:themeFillShade="BF"/>
            <w:vAlign w:val="center"/>
          </w:tcPr>
          <w:p w14:paraId="7E75435A" w14:textId="77777777" w:rsidR="009D42A7" w:rsidRPr="00191D46" w:rsidRDefault="009D42A7" w:rsidP="000D7B78">
            <w:pPr>
              <w:spacing w:line="276" w:lineRule="auto"/>
              <w:jc w:val="center"/>
              <w:rPr>
                <w:rFonts w:ascii="Century Gothic" w:hAnsi="Century Gothic"/>
                <w:b/>
                <w:bCs/>
                <w:sz w:val="20"/>
                <w:szCs w:val="20"/>
              </w:rPr>
            </w:pPr>
            <w:r w:rsidRPr="00191D46">
              <w:rPr>
                <w:rFonts w:ascii="Century Gothic" w:hAnsi="Century Gothic"/>
                <w:b/>
                <w:bCs/>
                <w:sz w:val="20"/>
                <w:szCs w:val="20"/>
              </w:rPr>
              <w:t>Metodología de la evaluación</w:t>
            </w:r>
          </w:p>
        </w:tc>
        <w:tc>
          <w:tcPr>
            <w:tcW w:w="3344" w:type="dxa"/>
            <w:shd w:val="clear" w:color="auto" w:fill="BFBFBF" w:themeFill="background1" w:themeFillShade="BF"/>
            <w:vAlign w:val="center"/>
          </w:tcPr>
          <w:p w14:paraId="3846B857" w14:textId="59318729" w:rsidR="009D42A7" w:rsidRPr="00191D46" w:rsidRDefault="000A628A" w:rsidP="000D7B78">
            <w:pPr>
              <w:spacing w:line="276" w:lineRule="auto"/>
              <w:jc w:val="center"/>
              <w:rPr>
                <w:rFonts w:ascii="Century Gothic" w:hAnsi="Century Gothic"/>
                <w:b/>
                <w:bCs/>
                <w:sz w:val="20"/>
                <w:szCs w:val="20"/>
              </w:rPr>
            </w:pPr>
            <w:r w:rsidRPr="00191D46">
              <w:rPr>
                <w:rFonts w:ascii="Century Gothic" w:hAnsi="Century Gothic"/>
                <w:b/>
                <w:bCs/>
                <w:sz w:val="20"/>
                <w:szCs w:val="20"/>
              </w:rPr>
              <w:t>Objetivo de la Evaluación</w:t>
            </w:r>
          </w:p>
        </w:tc>
        <w:tc>
          <w:tcPr>
            <w:tcW w:w="1447" w:type="dxa"/>
            <w:shd w:val="clear" w:color="auto" w:fill="BFBFBF" w:themeFill="background1" w:themeFillShade="BF"/>
            <w:vAlign w:val="center"/>
          </w:tcPr>
          <w:p w14:paraId="75FAF416" w14:textId="77777777" w:rsidR="009D42A7" w:rsidRPr="00191D46" w:rsidRDefault="009D42A7" w:rsidP="000D7B78">
            <w:pPr>
              <w:spacing w:line="276" w:lineRule="auto"/>
              <w:jc w:val="center"/>
              <w:rPr>
                <w:rFonts w:ascii="Century Gothic" w:hAnsi="Century Gothic"/>
                <w:b/>
                <w:bCs/>
                <w:sz w:val="20"/>
                <w:szCs w:val="20"/>
              </w:rPr>
            </w:pPr>
            <w:r w:rsidRPr="00191D46">
              <w:rPr>
                <w:rFonts w:ascii="Century Gothic" w:hAnsi="Century Gothic"/>
                <w:b/>
                <w:bCs/>
                <w:sz w:val="20"/>
                <w:szCs w:val="20"/>
              </w:rPr>
              <w:t>Unidad responsable de su seguimiento</w:t>
            </w:r>
          </w:p>
        </w:tc>
        <w:tc>
          <w:tcPr>
            <w:tcW w:w="1646" w:type="dxa"/>
            <w:shd w:val="clear" w:color="auto" w:fill="BFBFBF" w:themeFill="background1" w:themeFillShade="BF"/>
            <w:vAlign w:val="center"/>
          </w:tcPr>
          <w:p w14:paraId="4EF145DC" w14:textId="77777777" w:rsidR="009D42A7" w:rsidRPr="00191D46" w:rsidRDefault="009D42A7" w:rsidP="000D7B78">
            <w:pPr>
              <w:spacing w:line="276" w:lineRule="auto"/>
              <w:jc w:val="center"/>
              <w:rPr>
                <w:rFonts w:ascii="Century Gothic" w:hAnsi="Century Gothic"/>
                <w:b/>
                <w:bCs/>
                <w:sz w:val="20"/>
                <w:szCs w:val="20"/>
              </w:rPr>
            </w:pPr>
            <w:r w:rsidRPr="00191D46">
              <w:rPr>
                <w:rFonts w:ascii="Century Gothic" w:hAnsi="Century Gothic"/>
                <w:b/>
                <w:bCs/>
                <w:sz w:val="20"/>
                <w:szCs w:val="20"/>
              </w:rPr>
              <w:t>Periodicidad de la evaluación</w:t>
            </w:r>
          </w:p>
        </w:tc>
        <w:tc>
          <w:tcPr>
            <w:tcW w:w="1189" w:type="dxa"/>
            <w:shd w:val="clear" w:color="auto" w:fill="BFBFBF" w:themeFill="background1" w:themeFillShade="BF"/>
            <w:vAlign w:val="center"/>
          </w:tcPr>
          <w:p w14:paraId="5ED8FD23" w14:textId="77777777" w:rsidR="009D42A7" w:rsidRPr="00191D46" w:rsidRDefault="009D42A7" w:rsidP="000D7B78">
            <w:pPr>
              <w:spacing w:line="276" w:lineRule="auto"/>
              <w:jc w:val="center"/>
              <w:rPr>
                <w:rFonts w:ascii="Century Gothic" w:hAnsi="Century Gothic"/>
                <w:b/>
                <w:bCs/>
                <w:sz w:val="20"/>
                <w:szCs w:val="20"/>
              </w:rPr>
            </w:pPr>
            <w:r w:rsidRPr="00191D46">
              <w:rPr>
                <w:rFonts w:ascii="Century Gothic" w:hAnsi="Century Gothic"/>
                <w:b/>
                <w:bCs/>
                <w:sz w:val="20"/>
                <w:szCs w:val="20"/>
              </w:rPr>
              <w:t>Evaluador</w:t>
            </w:r>
          </w:p>
        </w:tc>
      </w:tr>
      <w:tr w:rsidR="009D42A7" w:rsidRPr="00D601A6" w14:paraId="3676529C" w14:textId="77777777" w:rsidTr="00FB1E7C">
        <w:trPr>
          <w:jc w:val="center"/>
        </w:trPr>
        <w:tc>
          <w:tcPr>
            <w:tcW w:w="2121" w:type="dxa"/>
          </w:tcPr>
          <w:p w14:paraId="1365DCF8" w14:textId="77777777" w:rsidR="009D42A7" w:rsidRPr="00D601A6" w:rsidRDefault="009D42A7" w:rsidP="00F1756A">
            <w:pPr>
              <w:spacing w:line="276" w:lineRule="auto"/>
              <w:jc w:val="both"/>
              <w:rPr>
                <w:rFonts w:ascii="Century Gothic" w:hAnsi="Century Gothic"/>
                <w:sz w:val="18"/>
                <w:szCs w:val="18"/>
              </w:rPr>
            </w:pPr>
          </w:p>
          <w:p w14:paraId="405F752B" w14:textId="0B10B8EA" w:rsidR="009D42A7" w:rsidRPr="00D601A6" w:rsidRDefault="005166E2" w:rsidP="00F1756A">
            <w:pPr>
              <w:spacing w:line="276" w:lineRule="auto"/>
              <w:jc w:val="both"/>
              <w:rPr>
                <w:rFonts w:ascii="Century Gothic" w:hAnsi="Century Gothic"/>
                <w:sz w:val="18"/>
                <w:szCs w:val="18"/>
              </w:rPr>
            </w:pPr>
            <w:r w:rsidRPr="005166E2">
              <w:rPr>
                <w:rFonts w:ascii="Century Gothic" w:hAnsi="Century Gothic"/>
                <w:sz w:val="18"/>
                <w:szCs w:val="18"/>
              </w:rPr>
              <w:t>Fondo de Aportaciones para la Infraestructura Social Municipal y de las Demarcaciones Territoriales del Distrito Federal (FAISMUN</w:t>
            </w:r>
            <w:r w:rsidR="00C85392">
              <w:rPr>
                <w:rFonts w:ascii="Century Gothic" w:hAnsi="Century Gothic"/>
                <w:sz w:val="18"/>
                <w:szCs w:val="18"/>
              </w:rPr>
              <w:t>-DF</w:t>
            </w:r>
            <w:r w:rsidRPr="005166E2">
              <w:rPr>
                <w:rFonts w:ascii="Century Gothic" w:hAnsi="Century Gothic"/>
                <w:sz w:val="18"/>
                <w:szCs w:val="18"/>
              </w:rPr>
              <w:t>)</w:t>
            </w:r>
          </w:p>
        </w:tc>
        <w:tc>
          <w:tcPr>
            <w:tcW w:w="1422" w:type="dxa"/>
          </w:tcPr>
          <w:p w14:paraId="291ED348" w14:textId="77777777" w:rsidR="009D42A7" w:rsidRPr="00D601A6" w:rsidRDefault="009D42A7" w:rsidP="00F1756A">
            <w:pPr>
              <w:spacing w:line="276" w:lineRule="auto"/>
              <w:jc w:val="both"/>
              <w:rPr>
                <w:rFonts w:ascii="Century Gothic" w:hAnsi="Century Gothic"/>
                <w:sz w:val="18"/>
                <w:szCs w:val="18"/>
              </w:rPr>
            </w:pPr>
          </w:p>
          <w:p w14:paraId="1E9C30C6" w14:textId="77777777" w:rsidR="009D42A7" w:rsidRPr="00D601A6" w:rsidRDefault="009D42A7" w:rsidP="00F1756A">
            <w:pPr>
              <w:spacing w:line="276" w:lineRule="auto"/>
              <w:jc w:val="both"/>
              <w:rPr>
                <w:rFonts w:ascii="Century Gothic" w:hAnsi="Century Gothic"/>
                <w:sz w:val="18"/>
                <w:szCs w:val="18"/>
              </w:rPr>
            </w:pPr>
          </w:p>
          <w:p w14:paraId="6907D792" w14:textId="3E3D084E" w:rsidR="009D42A7" w:rsidRPr="00D601A6" w:rsidRDefault="009D42A7" w:rsidP="004E39D3">
            <w:pPr>
              <w:spacing w:line="276" w:lineRule="auto"/>
              <w:jc w:val="both"/>
              <w:rPr>
                <w:rFonts w:ascii="Century Gothic" w:hAnsi="Century Gothic"/>
                <w:sz w:val="18"/>
                <w:szCs w:val="18"/>
              </w:rPr>
            </w:pPr>
            <w:r w:rsidRPr="00D601A6">
              <w:rPr>
                <w:rFonts w:ascii="Century Gothic" w:hAnsi="Century Gothic"/>
                <w:sz w:val="18"/>
                <w:szCs w:val="18"/>
              </w:rPr>
              <w:t xml:space="preserve">Evaluación </w:t>
            </w:r>
            <w:r w:rsidR="004E39D3">
              <w:rPr>
                <w:rFonts w:ascii="Century Gothic" w:hAnsi="Century Gothic"/>
                <w:sz w:val="18"/>
                <w:szCs w:val="18"/>
              </w:rPr>
              <w:t>Específica de Desempeño</w:t>
            </w:r>
          </w:p>
        </w:tc>
        <w:tc>
          <w:tcPr>
            <w:tcW w:w="1584" w:type="dxa"/>
          </w:tcPr>
          <w:p w14:paraId="6CE5EC5B" w14:textId="77777777" w:rsidR="009D42A7" w:rsidRPr="00D601A6" w:rsidRDefault="009D42A7" w:rsidP="00F1756A">
            <w:pPr>
              <w:spacing w:line="276" w:lineRule="auto"/>
              <w:jc w:val="both"/>
              <w:rPr>
                <w:rFonts w:ascii="Century Gothic" w:hAnsi="Century Gothic"/>
                <w:sz w:val="18"/>
                <w:szCs w:val="18"/>
              </w:rPr>
            </w:pPr>
          </w:p>
          <w:p w14:paraId="4BA9439D" w14:textId="77777777" w:rsidR="009D42A7" w:rsidRPr="00D601A6" w:rsidRDefault="009D42A7" w:rsidP="00F1756A">
            <w:pPr>
              <w:spacing w:line="276" w:lineRule="auto"/>
              <w:jc w:val="both"/>
              <w:rPr>
                <w:rFonts w:ascii="Century Gothic" w:hAnsi="Century Gothic"/>
                <w:sz w:val="18"/>
                <w:szCs w:val="18"/>
              </w:rPr>
            </w:pPr>
          </w:p>
          <w:p w14:paraId="3793AEE2" w14:textId="77777777" w:rsidR="009D42A7" w:rsidRPr="00D601A6" w:rsidRDefault="009D42A7" w:rsidP="00F1756A">
            <w:pPr>
              <w:spacing w:line="276" w:lineRule="auto"/>
              <w:jc w:val="both"/>
              <w:rPr>
                <w:rFonts w:ascii="Century Gothic" w:hAnsi="Century Gothic"/>
                <w:sz w:val="18"/>
                <w:szCs w:val="18"/>
              </w:rPr>
            </w:pPr>
            <w:r w:rsidRPr="00D601A6">
              <w:rPr>
                <w:rFonts w:ascii="Century Gothic" w:hAnsi="Century Gothic"/>
                <w:sz w:val="18"/>
                <w:szCs w:val="18"/>
              </w:rPr>
              <w:t>Cualitativa y Cuantitativa</w:t>
            </w:r>
          </w:p>
        </w:tc>
        <w:tc>
          <w:tcPr>
            <w:tcW w:w="3344" w:type="dxa"/>
          </w:tcPr>
          <w:p w14:paraId="37A8ED91" w14:textId="6B4DA2E9" w:rsidR="009D42A7" w:rsidRPr="00D601A6" w:rsidRDefault="009D42A7" w:rsidP="00D704DB">
            <w:pPr>
              <w:spacing w:line="276" w:lineRule="auto"/>
              <w:jc w:val="both"/>
              <w:rPr>
                <w:rFonts w:ascii="Century Gothic" w:hAnsi="Century Gothic"/>
                <w:sz w:val="18"/>
                <w:szCs w:val="18"/>
              </w:rPr>
            </w:pPr>
          </w:p>
        </w:tc>
        <w:tc>
          <w:tcPr>
            <w:tcW w:w="1447" w:type="dxa"/>
          </w:tcPr>
          <w:p w14:paraId="66AEA8DE" w14:textId="0BD66EEE" w:rsidR="00820F2E" w:rsidRPr="00D601A6" w:rsidRDefault="00E939E7" w:rsidP="00F1756A">
            <w:pPr>
              <w:spacing w:line="276" w:lineRule="auto"/>
              <w:jc w:val="both"/>
              <w:rPr>
                <w:rFonts w:ascii="Century Gothic" w:hAnsi="Century Gothic"/>
                <w:sz w:val="18"/>
                <w:szCs w:val="18"/>
              </w:rPr>
            </w:pPr>
            <w:r w:rsidRPr="00E939E7">
              <w:rPr>
                <w:rFonts w:ascii="Century Gothic" w:hAnsi="Century Gothic"/>
                <w:sz w:val="18"/>
                <w:szCs w:val="18"/>
              </w:rPr>
              <w:t>Órgano Interno de Control</w:t>
            </w:r>
          </w:p>
        </w:tc>
        <w:tc>
          <w:tcPr>
            <w:tcW w:w="1646" w:type="dxa"/>
          </w:tcPr>
          <w:p w14:paraId="55913AA4" w14:textId="1C127A44" w:rsidR="009D42A7" w:rsidRPr="00D601A6" w:rsidRDefault="008854AD" w:rsidP="00412A5E">
            <w:pPr>
              <w:spacing w:line="276" w:lineRule="auto"/>
              <w:jc w:val="both"/>
              <w:rPr>
                <w:rFonts w:ascii="Century Gothic" w:hAnsi="Century Gothic"/>
                <w:sz w:val="18"/>
                <w:szCs w:val="18"/>
              </w:rPr>
            </w:pPr>
            <w:r w:rsidRPr="00D601A6">
              <w:rPr>
                <w:rFonts w:ascii="Century Gothic" w:hAnsi="Century Gothic"/>
                <w:sz w:val="18"/>
                <w:szCs w:val="18"/>
              </w:rPr>
              <w:t xml:space="preserve">Del </w:t>
            </w:r>
            <w:r>
              <w:rPr>
                <w:rFonts w:ascii="Century Gothic" w:hAnsi="Century Gothic"/>
                <w:sz w:val="18"/>
                <w:szCs w:val="18"/>
              </w:rPr>
              <w:t>abril</w:t>
            </w:r>
            <w:r w:rsidRPr="00D601A6">
              <w:rPr>
                <w:rFonts w:ascii="Century Gothic" w:hAnsi="Century Gothic"/>
                <w:sz w:val="18"/>
                <w:szCs w:val="18"/>
              </w:rPr>
              <w:t xml:space="preserve"> a </w:t>
            </w:r>
            <w:r w:rsidR="007B2433">
              <w:rPr>
                <w:rFonts w:ascii="Century Gothic" w:hAnsi="Century Gothic"/>
                <w:sz w:val="18"/>
                <w:szCs w:val="18"/>
              </w:rPr>
              <w:t>octubre</w:t>
            </w:r>
            <w:r w:rsidRPr="00D601A6">
              <w:rPr>
                <w:rFonts w:ascii="Century Gothic" w:hAnsi="Century Gothic"/>
                <w:sz w:val="18"/>
                <w:szCs w:val="18"/>
              </w:rPr>
              <w:t xml:space="preserve"> del 202</w:t>
            </w:r>
            <w:r>
              <w:rPr>
                <w:rFonts w:ascii="Century Gothic" w:hAnsi="Century Gothic"/>
                <w:sz w:val="18"/>
                <w:szCs w:val="18"/>
              </w:rPr>
              <w:t>5</w:t>
            </w:r>
          </w:p>
        </w:tc>
        <w:tc>
          <w:tcPr>
            <w:tcW w:w="1189" w:type="dxa"/>
          </w:tcPr>
          <w:p w14:paraId="3F83984B" w14:textId="77777777" w:rsidR="009D42A7" w:rsidRPr="00D601A6" w:rsidRDefault="009D42A7" w:rsidP="00F1756A">
            <w:pPr>
              <w:spacing w:line="276" w:lineRule="auto"/>
              <w:jc w:val="both"/>
              <w:rPr>
                <w:rFonts w:ascii="Century Gothic" w:hAnsi="Century Gothic"/>
                <w:sz w:val="18"/>
                <w:szCs w:val="18"/>
              </w:rPr>
            </w:pPr>
            <w:r w:rsidRPr="00D601A6">
              <w:rPr>
                <w:rFonts w:ascii="Century Gothic" w:hAnsi="Century Gothic"/>
                <w:sz w:val="18"/>
                <w:szCs w:val="18"/>
              </w:rPr>
              <w:t>Externo</w:t>
            </w:r>
          </w:p>
        </w:tc>
      </w:tr>
      <w:tr w:rsidR="009D42A7" w:rsidRPr="00D601A6" w14:paraId="3245C843" w14:textId="77777777" w:rsidTr="00FB1E7C">
        <w:trPr>
          <w:jc w:val="center"/>
        </w:trPr>
        <w:tc>
          <w:tcPr>
            <w:tcW w:w="2121" w:type="dxa"/>
          </w:tcPr>
          <w:p w14:paraId="744BEA95" w14:textId="77777777" w:rsidR="009D42A7" w:rsidRPr="00D601A6" w:rsidRDefault="009D42A7" w:rsidP="00F1756A">
            <w:pPr>
              <w:spacing w:line="276" w:lineRule="auto"/>
              <w:jc w:val="both"/>
              <w:rPr>
                <w:rFonts w:ascii="Century Gothic" w:hAnsi="Century Gothic"/>
                <w:sz w:val="18"/>
                <w:szCs w:val="18"/>
              </w:rPr>
            </w:pPr>
          </w:p>
          <w:p w14:paraId="1F735403" w14:textId="77777777" w:rsidR="009D42A7" w:rsidRPr="00D601A6" w:rsidRDefault="009D42A7" w:rsidP="00F1756A">
            <w:pPr>
              <w:spacing w:line="276" w:lineRule="auto"/>
              <w:jc w:val="both"/>
              <w:rPr>
                <w:rFonts w:ascii="Century Gothic" w:hAnsi="Century Gothic"/>
                <w:sz w:val="18"/>
                <w:szCs w:val="18"/>
              </w:rPr>
            </w:pPr>
            <w:r w:rsidRPr="00D601A6">
              <w:rPr>
                <w:rFonts w:ascii="Century Gothic" w:hAnsi="Century Gothic"/>
                <w:sz w:val="18"/>
                <w:szCs w:val="18"/>
              </w:rPr>
              <w:t>Fondo de Aportaciones para el Fortalecimiento de los Municipios y de las Demarcaciones</w:t>
            </w:r>
          </w:p>
          <w:p w14:paraId="266AB090" w14:textId="77777777" w:rsidR="009D42A7" w:rsidRPr="00D601A6" w:rsidRDefault="009D42A7" w:rsidP="00F1756A">
            <w:pPr>
              <w:spacing w:line="276" w:lineRule="auto"/>
              <w:jc w:val="both"/>
              <w:rPr>
                <w:rFonts w:ascii="Century Gothic" w:hAnsi="Century Gothic"/>
                <w:sz w:val="18"/>
                <w:szCs w:val="18"/>
              </w:rPr>
            </w:pPr>
            <w:r w:rsidRPr="00D601A6">
              <w:rPr>
                <w:rFonts w:ascii="Century Gothic" w:hAnsi="Century Gothic"/>
                <w:sz w:val="18"/>
                <w:szCs w:val="18"/>
              </w:rPr>
              <w:t>Territoriales del Distrito Federal</w:t>
            </w:r>
          </w:p>
          <w:p w14:paraId="66044400" w14:textId="77777777" w:rsidR="009D42A7" w:rsidRPr="00D601A6" w:rsidRDefault="009D42A7" w:rsidP="00F1756A">
            <w:pPr>
              <w:spacing w:line="276" w:lineRule="auto"/>
              <w:jc w:val="both"/>
              <w:rPr>
                <w:rFonts w:ascii="Century Gothic" w:hAnsi="Century Gothic"/>
                <w:sz w:val="18"/>
                <w:szCs w:val="18"/>
              </w:rPr>
            </w:pPr>
            <w:r w:rsidRPr="00D601A6">
              <w:rPr>
                <w:rFonts w:ascii="Century Gothic" w:hAnsi="Century Gothic"/>
                <w:sz w:val="18"/>
                <w:szCs w:val="18"/>
              </w:rPr>
              <w:t>(FORTAMUN-DF)</w:t>
            </w:r>
          </w:p>
        </w:tc>
        <w:tc>
          <w:tcPr>
            <w:tcW w:w="1422" w:type="dxa"/>
          </w:tcPr>
          <w:p w14:paraId="4CB19CF9" w14:textId="77777777" w:rsidR="009D42A7" w:rsidRPr="00D601A6" w:rsidRDefault="009D42A7" w:rsidP="00F1756A">
            <w:pPr>
              <w:spacing w:line="276" w:lineRule="auto"/>
              <w:jc w:val="both"/>
              <w:rPr>
                <w:rFonts w:ascii="Century Gothic" w:hAnsi="Century Gothic"/>
                <w:sz w:val="18"/>
                <w:szCs w:val="18"/>
              </w:rPr>
            </w:pPr>
          </w:p>
          <w:p w14:paraId="54DFE8A7" w14:textId="77777777" w:rsidR="009D42A7" w:rsidRPr="00D601A6" w:rsidRDefault="009D42A7" w:rsidP="00F1756A">
            <w:pPr>
              <w:spacing w:line="276" w:lineRule="auto"/>
              <w:jc w:val="both"/>
              <w:rPr>
                <w:rFonts w:ascii="Century Gothic" w:hAnsi="Century Gothic"/>
                <w:sz w:val="18"/>
                <w:szCs w:val="18"/>
              </w:rPr>
            </w:pPr>
          </w:p>
          <w:p w14:paraId="2CED3399" w14:textId="5B7CA5DF" w:rsidR="009D42A7" w:rsidRPr="00D601A6" w:rsidRDefault="00EC3B28" w:rsidP="00F1756A">
            <w:pPr>
              <w:spacing w:line="276" w:lineRule="auto"/>
              <w:jc w:val="both"/>
              <w:rPr>
                <w:rFonts w:ascii="Century Gothic" w:hAnsi="Century Gothic"/>
                <w:sz w:val="18"/>
                <w:szCs w:val="18"/>
              </w:rPr>
            </w:pPr>
            <w:r w:rsidRPr="00D601A6">
              <w:rPr>
                <w:rFonts w:ascii="Century Gothic" w:hAnsi="Century Gothic"/>
                <w:sz w:val="18"/>
                <w:szCs w:val="18"/>
              </w:rPr>
              <w:t xml:space="preserve">Evaluación </w:t>
            </w:r>
            <w:r w:rsidR="004E39D3">
              <w:rPr>
                <w:rFonts w:ascii="Century Gothic" w:hAnsi="Century Gothic"/>
                <w:sz w:val="18"/>
                <w:szCs w:val="18"/>
              </w:rPr>
              <w:t>Específica de Desempeño</w:t>
            </w:r>
          </w:p>
        </w:tc>
        <w:tc>
          <w:tcPr>
            <w:tcW w:w="1584" w:type="dxa"/>
          </w:tcPr>
          <w:p w14:paraId="22E141C3" w14:textId="77777777" w:rsidR="009D42A7" w:rsidRPr="00D601A6" w:rsidRDefault="009D42A7" w:rsidP="00F1756A">
            <w:pPr>
              <w:spacing w:line="276" w:lineRule="auto"/>
              <w:jc w:val="both"/>
              <w:rPr>
                <w:rFonts w:ascii="Century Gothic" w:hAnsi="Century Gothic"/>
                <w:sz w:val="18"/>
                <w:szCs w:val="18"/>
              </w:rPr>
            </w:pPr>
          </w:p>
          <w:p w14:paraId="36A48CC3" w14:textId="77777777" w:rsidR="009D42A7" w:rsidRPr="00D601A6" w:rsidRDefault="009D42A7" w:rsidP="00F1756A">
            <w:pPr>
              <w:spacing w:line="276" w:lineRule="auto"/>
              <w:jc w:val="both"/>
              <w:rPr>
                <w:rFonts w:ascii="Century Gothic" w:hAnsi="Century Gothic"/>
                <w:sz w:val="18"/>
                <w:szCs w:val="18"/>
              </w:rPr>
            </w:pPr>
          </w:p>
          <w:p w14:paraId="61B8F426" w14:textId="77777777" w:rsidR="009D42A7" w:rsidRPr="00D601A6" w:rsidRDefault="009D42A7" w:rsidP="00F1756A">
            <w:pPr>
              <w:spacing w:line="276" w:lineRule="auto"/>
              <w:jc w:val="both"/>
              <w:rPr>
                <w:rFonts w:ascii="Century Gothic" w:hAnsi="Century Gothic"/>
                <w:sz w:val="18"/>
                <w:szCs w:val="18"/>
              </w:rPr>
            </w:pPr>
            <w:r w:rsidRPr="00D601A6">
              <w:rPr>
                <w:rFonts w:ascii="Century Gothic" w:hAnsi="Century Gothic"/>
                <w:sz w:val="18"/>
                <w:szCs w:val="18"/>
              </w:rPr>
              <w:t>Cualitativa y Cuantitativa</w:t>
            </w:r>
          </w:p>
        </w:tc>
        <w:tc>
          <w:tcPr>
            <w:tcW w:w="3344" w:type="dxa"/>
          </w:tcPr>
          <w:p w14:paraId="0F7B3172" w14:textId="2EA33465" w:rsidR="009D42A7" w:rsidRPr="00D601A6" w:rsidRDefault="005A02ED" w:rsidP="00F1756A">
            <w:pPr>
              <w:spacing w:line="276" w:lineRule="auto"/>
              <w:jc w:val="both"/>
              <w:rPr>
                <w:rFonts w:ascii="Century Gothic" w:hAnsi="Century Gothic"/>
                <w:sz w:val="18"/>
                <w:szCs w:val="18"/>
              </w:rPr>
            </w:pPr>
            <w:r w:rsidRPr="005A02ED">
              <w:rPr>
                <w:rFonts w:ascii="Century Gothic" w:hAnsi="Century Gothic"/>
                <w:sz w:val="18"/>
                <w:szCs w:val="18"/>
              </w:rPr>
              <w:t xml:space="preserve">Evaluar el desempeño del Programa presupuestario ejecutado con recursos del FORTAMUN-DF </w:t>
            </w:r>
            <w:r>
              <w:rPr>
                <w:rFonts w:ascii="Century Gothic" w:hAnsi="Century Gothic"/>
                <w:sz w:val="18"/>
                <w:szCs w:val="18"/>
              </w:rPr>
              <w:t xml:space="preserve">del ejercicio fiscal 2024, </w:t>
            </w:r>
            <w:r w:rsidRPr="005A02ED">
              <w:rPr>
                <w:rFonts w:ascii="Century Gothic" w:hAnsi="Century Gothic"/>
                <w:sz w:val="18"/>
                <w:szCs w:val="18"/>
              </w:rPr>
              <w:t>desde su diseño e implementación hasta sus resultados y el cumplimiento de sus metas, mediante el análisis de sus instrumentos de seguimiento del desempeño, la ejecución de sus recursos y los resultados de sus indicadores.</w:t>
            </w:r>
          </w:p>
        </w:tc>
        <w:tc>
          <w:tcPr>
            <w:tcW w:w="1447" w:type="dxa"/>
          </w:tcPr>
          <w:p w14:paraId="04249B83" w14:textId="59F64016" w:rsidR="00820F2E" w:rsidRPr="00D601A6" w:rsidRDefault="00E939E7" w:rsidP="00F1756A">
            <w:pPr>
              <w:spacing w:line="276" w:lineRule="auto"/>
              <w:jc w:val="both"/>
              <w:rPr>
                <w:rFonts w:ascii="Century Gothic" w:hAnsi="Century Gothic"/>
                <w:sz w:val="18"/>
                <w:szCs w:val="18"/>
              </w:rPr>
            </w:pPr>
            <w:r w:rsidRPr="00E939E7">
              <w:rPr>
                <w:rFonts w:ascii="Century Gothic" w:hAnsi="Century Gothic"/>
                <w:sz w:val="18"/>
                <w:szCs w:val="18"/>
              </w:rPr>
              <w:t>Órgano Interno de Control</w:t>
            </w:r>
          </w:p>
        </w:tc>
        <w:tc>
          <w:tcPr>
            <w:tcW w:w="1646" w:type="dxa"/>
          </w:tcPr>
          <w:p w14:paraId="0B6EB3CE" w14:textId="337E9AE5" w:rsidR="009D42A7" w:rsidRPr="00D601A6" w:rsidRDefault="008854AD" w:rsidP="00F1756A">
            <w:pPr>
              <w:spacing w:line="276" w:lineRule="auto"/>
              <w:jc w:val="both"/>
              <w:rPr>
                <w:rFonts w:ascii="Century Gothic" w:hAnsi="Century Gothic"/>
                <w:sz w:val="18"/>
                <w:szCs w:val="18"/>
              </w:rPr>
            </w:pPr>
            <w:r w:rsidRPr="00D601A6">
              <w:rPr>
                <w:rFonts w:ascii="Century Gothic" w:hAnsi="Century Gothic"/>
                <w:sz w:val="18"/>
                <w:szCs w:val="18"/>
              </w:rPr>
              <w:t xml:space="preserve">Del </w:t>
            </w:r>
            <w:r>
              <w:rPr>
                <w:rFonts w:ascii="Century Gothic" w:hAnsi="Century Gothic"/>
                <w:sz w:val="18"/>
                <w:szCs w:val="18"/>
              </w:rPr>
              <w:t>abril</w:t>
            </w:r>
            <w:r w:rsidRPr="00D601A6">
              <w:rPr>
                <w:rFonts w:ascii="Century Gothic" w:hAnsi="Century Gothic"/>
                <w:sz w:val="18"/>
                <w:szCs w:val="18"/>
              </w:rPr>
              <w:t xml:space="preserve"> a </w:t>
            </w:r>
            <w:r w:rsidR="007B2433">
              <w:rPr>
                <w:rFonts w:ascii="Century Gothic" w:hAnsi="Century Gothic"/>
                <w:sz w:val="18"/>
                <w:szCs w:val="18"/>
              </w:rPr>
              <w:t>octubre</w:t>
            </w:r>
            <w:r w:rsidRPr="00D601A6">
              <w:rPr>
                <w:rFonts w:ascii="Century Gothic" w:hAnsi="Century Gothic"/>
                <w:sz w:val="18"/>
                <w:szCs w:val="18"/>
              </w:rPr>
              <w:t xml:space="preserve"> del 202</w:t>
            </w:r>
            <w:r>
              <w:rPr>
                <w:rFonts w:ascii="Century Gothic" w:hAnsi="Century Gothic"/>
                <w:sz w:val="18"/>
                <w:szCs w:val="18"/>
              </w:rPr>
              <w:t>5</w:t>
            </w:r>
          </w:p>
        </w:tc>
        <w:tc>
          <w:tcPr>
            <w:tcW w:w="1189" w:type="dxa"/>
          </w:tcPr>
          <w:p w14:paraId="30F496B1" w14:textId="77777777" w:rsidR="009D42A7" w:rsidRPr="00D601A6" w:rsidRDefault="009D42A7" w:rsidP="00F1756A">
            <w:pPr>
              <w:spacing w:line="276" w:lineRule="auto"/>
              <w:jc w:val="both"/>
              <w:rPr>
                <w:rFonts w:ascii="Century Gothic" w:hAnsi="Century Gothic"/>
                <w:sz w:val="18"/>
                <w:szCs w:val="18"/>
              </w:rPr>
            </w:pPr>
            <w:r w:rsidRPr="00D601A6">
              <w:rPr>
                <w:rFonts w:ascii="Century Gothic" w:hAnsi="Century Gothic"/>
                <w:sz w:val="18"/>
                <w:szCs w:val="18"/>
              </w:rPr>
              <w:t>Externo</w:t>
            </w:r>
          </w:p>
        </w:tc>
      </w:tr>
      <w:tr w:rsidR="00E939E7" w:rsidRPr="00D601A6" w14:paraId="5C31638D" w14:textId="77777777" w:rsidTr="00FB1E7C">
        <w:trPr>
          <w:jc w:val="center"/>
        </w:trPr>
        <w:tc>
          <w:tcPr>
            <w:tcW w:w="2121" w:type="dxa"/>
          </w:tcPr>
          <w:p w14:paraId="09F0062E" w14:textId="25F4D586" w:rsidR="00E939E7" w:rsidRPr="00313085" w:rsidRDefault="00E939E7" w:rsidP="002F201C">
            <w:pPr>
              <w:spacing w:line="276" w:lineRule="auto"/>
              <w:jc w:val="both"/>
              <w:rPr>
                <w:rFonts w:ascii="Century Gothic" w:hAnsi="Century Gothic"/>
                <w:sz w:val="18"/>
                <w:szCs w:val="18"/>
              </w:rPr>
            </w:pPr>
            <w:r w:rsidRPr="00313085">
              <w:rPr>
                <w:rFonts w:ascii="Century Gothic" w:hAnsi="Century Gothic"/>
                <w:sz w:val="18"/>
                <w:szCs w:val="18"/>
              </w:rPr>
              <w:t xml:space="preserve">Programa presupuestario </w:t>
            </w:r>
            <w:r w:rsidR="002F201C">
              <w:rPr>
                <w:rFonts w:ascii="Century Gothic" w:hAnsi="Century Gothic"/>
                <w:sz w:val="18"/>
                <w:szCs w:val="18"/>
              </w:rPr>
              <w:t>financiado con Participaciones</w:t>
            </w:r>
          </w:p>
        </w:tc>
        <w:tc>
          <w:tcPr>
            <w:tcW w:w="1422" w:type="dxa"/>
          </w:tcPr>
          <w:p w14:paraId="5829C67C" w14:textId="01952D57" w:rsidR="00E939E7" w:rsidRPr="00D601A6" w:rsidRDefault="00E939E7" w:rsidP="00E939E7">
            <w:pPr>
              <w:spacing w:line="276" w:lineRule="auto"/>
              <w:jc w:val="both"/>
              <w:rPr>
                <w:rFonts w:ascii="Century Gothic" w:hAnsi="Century Gothic"/>
                <w:sz w:val="18"/>
                <w:szCs w:val="18"/>
              </w:rPr>
            </w:pPr>
            <w:r w:rsidRPr="00D601A6">
              <w:rPr>
                <w:rFonts w:ascii="Century Gothic" w:hAnsi="Century Gothic"/>
                <w:sz w:val="18"/>
                <w:szCs w:val="18"/>
              </w:rPr>
              <w:t xml:space="preserve">Evaluación Específica de Desempeño </w:t>
            </w:r>
          </w:p>
        </w:tc>
        <w:tc>
          <w:tcPr>
            <w:tcW w:w="1584" w:type="dxa"/>
          </w:tcPr>
          <w:p w14:paraId="55B07097" w14:textId="1E0AEF78" w:rsidR="00E939E7" w:rsidRPr="00D601A6" w:rsidRDefault="00E939E7" w:rsidP="00E939E7">
            <w:pPr>
              <w:spacing w:line="276" w:lineRule="auto"/>
              <w:jc w:val="both"/>
              <w:rPr>
                <w:rFonts w:ascii="Century Gothic" w:hAnsi="Century Gothic"/>
                <w:sz w:val="18"/>
                <w:szCs w:val="18"/>
              </w:rPr>
            </w:pPr>
            <w:r w:rsidRPr="00D601A6">
              <w:rPr>
                <w:rFonts w:ascii="Century Gothic" w:hAnsi="Century Gothic"/>
                <w:sz w:val="18"/>
                <w:szCs w:val="18"/>
              </w:rPr>
              <w:t>Cualitativa y Cuantitativa</w:t>
            </w:r>
          </w:p>
        </w:tc>
        <w:tc>
          <w:tcPr>
            <w:tcW w:w="3344" w:type="dxa"/>
          </w:tcPr>
          <w:p w14:paraId="6CDC401F" w14:textId="1F956995" w:rsidR="00E939E7" w:rsidRPr="00D601A6" w:rsidRDefault="00E939E7" w:rsidP="00E939E7">
            <w:pPr>
              <w:spacing w:line="276" w:lineRule="auto"/>
              <w:jc w:val="both"/>
              <w:rPr>
                <w:rFonts w:ascii="Century Gothic" w:hAnsi="Century Gothic"/>
                <w:sz w:val="18"/>
                <w:szCs w:val="18"/>
              </w:rPr>
            </w:pPr>
          </w:p>
        </w:tc>
        <w:tc>
          <w:tcPr>
            <w:tcW w:w="1447" w:type="dxa"/>
          </w:tcPr>
          <w:p w14:paraId="5894DB59" w14:textId="66B0D38A" w:rsidR="00E939E7" w:rsidRPr="00D601A6" w:rsidRDefault="00E939E7" w:rsidP="00E939E7">
            <w:pPr>
              <w:spacing w:line="276" w:lineRule="auto"/>
              <w:jc w:val="both"/>
              <w:rPr>
                <w:rFonts w:ascii="Century Gothic" w:hAnsi="Century Gothic"/>
                <w:sz w:val="18"/>
                <w:szCs w:val="18"/>
              </w:rPr>
            </w:pPr>
            <w:r w:rsidRPr="005F2C3C">
              <w:rPr>
                <w:rFonts w:ascii="Century Gothic" w:hAnsi="Century Gothic"/>
                <w:sz w:val="18"/>
                <w:szCs w:val="18"/>
              </w:rPr>
              <w:t>Órgano Interno de Control</w:t>
            </w:r>
          </w:p>
        </w:tc>
        <w:tc>
          <w:tcPr>
            <w:tcW w:w="1646" w:type="dxa"/>
          </w:tcPr>
          <w:p w14:paraId="61AFC95C" w14:textId="031B3273" w:rsidR="00E939E7" w:rsidRPr="00D601A6" w:rsidRDefault="008854AD" w:rsidP="00E939E7">
            <w:pPr>
              <w:spacing w:line="276" w:lineRule="auto"/>
              <w:jc w:val="both"/>
              <w:rPr>
                <w:rFonts w:ascii="Century Gothic" w:hAnsi="Century Gothic"/>
                <w:sz w:val="18"/>
                <w:szCs w:val="18"/>
              </w:rPr>
            </w:pPr>
            <w:r w:rsidRPr="00D601A6">
              <w:rPr>
                <w:rFonts w:ascii="Century Gothic" w:hAnsi="Century Gothic"/>
                <w:sz w:val="18"/>
                <w:szCs w:val="18"/>
              </w:rPr>
              <w:t xml:space="preserve">Del </w:t>
            </w:r>
            <w:r>
              <w:rPr>
                <w:rFonts w:ascii="Century Gothic" w:hAnsi="Century Gothic"/>
                <w:sz w:val="18"/>
                <w:szCs w:val="18"/>
              </w:rPr>
              <w:t>abril</w:t>
            </w:r>
            <w:r w:rsidRPr="00D601A6">
              <w:rPr>
                <w:rFonts w:ascii="Century Gothic" w:hAnsi="Century Gothic"/>
                <w:sz w:val="18"/>
                <w:szCs w:val="18"/>
              </w:rPr>
              <w:t xml:space="preserve"> a </w:t>
            </w:r>
            <w:r w:rsidR="007B2433">
              <w:rPr>
                <w:rFonts w:ascii="Century Gothic" w:hAnsi="Century Gothic"/>
                <w:sz w:val="18"/>
                <w:szCs w:val="18"/>
              </w:rPr>
              <w:t>octubre</w:t>
            </w:r>
            <w:r w:rsidRPr="00D601A6">
              <w:rPr>
                <w:rFonts w:ascii="Century Gothic" w:hAnsi="Century Gothic"/>
                <w:sz w:val="18"/>
                <w:szCs w:val="18"/>
              </w:rPr>
              <w:t xml:space="preserve"> del 202</w:t>
            </w:r>
            <w:r>
              <w:rPr>
                <w:rFonts w:ascii="Century Gothic" w:hAnsi="Century Gothic"/>
                <w:sz w:val="18"/>
                <w:szCs w:val="18"/>
              </w:rPr>
              <w:t>5</w:t>
            </w:r>
          </w:p>
        </w:tc>
        <w:tc>
          <w:tcPr>
            <w:tcW w:w="1189" w:type="dxa"/>
          </w:tcPr>
          <w:p w14:paraId="2FCCBB12" w14:textId="465ECE3F" w:rsidR="00E939E7" w:rsidRPr="00D601A6" w:rsidRDefault="00E939E7" w:rsidP="00E939E7">
            <w:pPr>
              <w:spacing w:line="276" w:lineRule="auto"/>
              <w:jc w:val="both"/>
              <w:rPr>
                <w:rFonts w:ascii="Century Gothic" w:hAnsi="Century Gothic"/>
                <w:sz w:val="18"/>
                <w:szCs w:val="18"/>
              </w:rPr>
            </w:pPr>
            <w:r w:rsidRPr="00D601A6">
              <w:rPr>
                <w:rFonts w:ascii="Century Gothic" w:hAnsi="Century Gothic"/>
                <w:sz w:val="18"/>
                <w:szCs w:val="18"/>
              </w:rPr>
              <w:t>Externo</w:t>
            </w:r>
          </w:p>
        </w:tc>
      </w:tr>
      <w:tr w:rsidR="00E939E7" w:rsidRPr="00D601A6" w14:paraId="16708D48" w14:textId="77777777" w:rsidTr="00FB1E7C">
        <w:trPr>
          <w:jc w:val="center"/>
        </w:trPr>
        <w:tc>
          <w:tcPr>
            <w:tcW w:w="2121" w:type="dxa"/>
          </w:tcPr>
          <w:p w14:paraId="5895A408" w14:textId="40129BA5" w:rsidR="00E939E7" w:rsidRPr="00D601A6" w:rsidRDefault="00D27F80" w:rsidP="00E939E7">
            <w:pPr>
              <w:spacing w:line="276" w:lineRule="auto"/>
              <w:jc w:val="both"/>
              <w:rPr>
                <w:rFonts w:ascii="Century Gothic" w:hAnsi="Century Gothic"/>
                <w:sz w:val="18"/>
                <w:szCs w:val="18"/>
              </w:rPr>
            </w:pPr>
            <w:r w:rsidRPr="00EF5197">
              <w:rPr>
                <w:rFonts w:ascii="Century Gothic" w:hAnsi="Century Gothic"/>
                <w:sz w:val="18"/>
                <w:szCs w:val="18"/>
              </w:rPr>
              <w:t>Programa presupuestario de</w:t>
            </w:r>
            <w:r w:rsidR="0004250E" w:rsidRPr="00EF5197">
              <w:rPr>
                <w:rFonts w:ascii="Century Gothic" w:hAnsi="Century Gothic"/>
                <w:sz w:val="18"/>
                <w:szCs w:val="18"/>
              </w:rPr>
              <w:t xml:space="preserve"> </w:t>
            </w:r>
            <w:r w:rsidR="00885905" w:rsidRPr="00EF5197">
              <w:rPr>
                <w:rFonts w:ascii="Century Gothic" w:hAnsi="Century Gothic"/>
                <w:sz w:val="18"/>
                <w:szCs w:val="18"/>
              </w:rPr>
              <w:t xml:space="preserve">la </w:t>
            </w:r>
            <w:r w:rsidR="0004250E" w:rsidRPr="00EF5197">
              <w:rPr>
                <w:rFonts w:ascii="Century Gothic" w:hAnsi="Century Gothic"/>
                <w:sz w:val="18"/>
                <w:szCs w:val="18"/>
              </w:rPr>
              <w:t>Secretaria de</w:t>
            </w:r>
            <w:r w:rsidR="00CA41E0" w:rsidRPr="00EF5197">
              <w:rPr>
                <w:rFonts w:ascii="Century Gothic" w:hAnsi="Century Gothic"/>
                <w:sz w:val="18"/>
                <w:szCs w:val="18"/>
              </w:rPr>
              <w:t xml:space="preserve"> </w:t>
            </w:r>
            <w:r w:rsidR="00CA41E0" w:rsidRPr="00EF5197">
              <w:rPr>
                <w:rFonts w:ascii="Century Gothic" w:hAnsi="Century Gothic"/>
                <w:sz w:val="18"/>
                <w:szCs w:val="18"/>
              </w:rPr>
              <w:lastRenderedPageBreak/>
              <w:t>Servicios Públicos Municipales</w:t>
            </w:r>
            <w:r w:rsidR="00F002D4" w:rsidRPr="00EF5197">
              <w:rPr>
                <w:rFonts w:ascii="Century Gothic" w:hAnsi="Century Gothic"/>
                <w:sz w:val="18"/>
                <w:szCs w:val="18"/>
              </w:rPr>
              <w:t>.</w:t>
            </w:r>
          </w:p>
        </w:tc>
        <w:tc>
          <w:tcPr>
            <w:tcW w:w="1422" w:type="dxa"/>
          </w:tcPr>
          <w:p w14:paraId="7FC29ABF" w14:textId="7F70ABEC" w:rsidR="00E939E7" w:rsidRPr="00D601A6" w:rsidRDefault="00E939E7" w:rsidP="00E939E7">
            <w:pPr>
              <w:spacing w:line="276" w:lineRule="auto"/>
              <w:jc w:val="both"/>
              <w:rPr>
                <w:rFonts w:ascii="Century Gothic" w:hAnsi="Century Gothic"/>
                <w:sz w:val="18"/>
                <w:szCs w:val="18"/>
              </w:rPr>
            </w:pPr>
            <w:r w:rsidRPr="00D601A6">
              <w:rPr>
                <w:rFonts w:ascii="Century Gothic" w:hAnsi="Century Gothic"/>
                <w:sz w:val="18"/>
                <w:szCs w:val="18"/>
              </w:rPr>
              <w:lastRenderedPageBreak/>
              <w:t>Evaluación Específica de Desempeño</w:t>
            </w:r>
          </w:p>
        </w:tc>
        <w:tc>
          <w:tcPr>
            <w:tcW w:w="1584" w:type="dxa"/>
          </w:tcPr>
          <w:p w14:paraId="67B79B67" w14:textId="7FE9ACA0" w:rsidR="00E939E7" w:rsidRPr="00D601A6" w:rsidRDefault="00E939E7" w:rsidP="00E939E7">
            <w:pPr>
              <w:spacing w:line="276" w:lineRule="auto"/>
              <w:jc w:val="both"/>
              <w:rPr>
                <w:rFonts w:ascii="Century Gothic" w:hAnsi="Century Gothic"/>
                <w:sz w:val="18"/>
                <w:szCs w:val="18"/>
              </w:rPr>
            </w:pPr>
            <w:r w:rsidRPr="00D601A6">
              <w:rPr>
                <w:rFonts w:ascii="Century Gothic" w:hAnsi="Century Gothic"/>
                <w:sz w:val="18"/>
                <w:szCs w:val="18"/>
              </w:rPr>
              <w:t>Cualitativa y Cuantitativa</w:t>
            </w:r>
          </w:p>
        </w:tc>
        <w:tc>
          <w:tcPr>
            <w:tcW w:w="3344" w:type="dxa"/>
          </w:tcPr>
          <w:p w14:paraId="09D1AEBD" w14:textId="79813A96" w:rsidR="00E939E7" w:rsidRPr="00B248ED" w:rsidRDefault="002D42C2" w:rsidP="00E939E7">
            <w:pPr>
              <w:spacing w:line="276" w:lineRule="auto"/>
              <w:jc w:val="both"/>
              <w:rPr>
                <w:rFonts w:ascii="Century Gothic" w:hAnsi="Century Gothic"/>
                <w:sz w:val="18"/>
                <w:szCs w:val="18"/>
                <w:highlight w:val="yellow"/>
              </w:rPr>
            </w:pPr>
            <w:r w:rsidRPr="002D42C2">
              <w:rPr>
                <w:rFonts w:ascii="Century Gothic" w:hAnsi="Century Gothic"/>
                <w:sz w:val="18"/>
                <w:szCs w:val="18"/>
              </w:rPr>
              <w:t>Evaluar el desempeño del Programa presupuestario de</w:t>
            </w:r>
            <w:r>
              <w:rPr>
                <w:rFonts w:ascii="Century Gothic" w:hAnsi="Century Gothic"/>
                <w:sz w:val="18"/>
                <w:szCs w:val="18"/>
              </w:rPr>
              <w:t xml:space="preserve"> S</w:t>
            </w:r>
            <w:r w:rsidRPr="002D42C2">
              <w:rPr>
                <w:rFonts w:ascii="Century Gothic" w:hAnsi="Century Gothic"/>
                <w:sz w:val="18"/>
                <w:szCs w:val="18"/>
              </w:rPr>
              <w:t xml:space="preserve">ervicios </w:t>
            </w:r>
            <w:r>
              <w:rPr>
                <w:rFonts w:ascii="Century Gothic" w:hAnsi="Century Gothic"/>
                <w:sz w:val="18"/>
                <w:szCs w:val="18"/>
              </w:rPr>
              <w:t>P</w:t>
            </w:r>
            <w:r w:rsidRPr="002D42C2">
              <w:rPr>
                <w:rFonts w:ascii="Century Gothic" w:hAnsi="Century Gothic"/>
                <w:sz w:val="18"/>
                <w:szCs w:val="18"/>
              </w:rPr>
              <w:t xml:space="preserve">úblicos </w:t>
            </w:r>
            <w:r>
              <w:rPr>
                <w:rFonts w:ascii="Century Gothic" w:hAnsi="Century Gothic"/>
                <w:sz w:val="18"/>
                <w:szCs w:val="18"/>
              </w:rPr>
              <w:t>M</w:t>
            </w:r>
            <w:r w:rsidRPr="002D42C2">
              <w:rPr>
                <w:rFonts w:ascii="Century Gothic" w:hAnsi="Century Gothic"/>
                <w:sz w:val="18"/>
                <w:szCs w:val="18"/>
              </w:rPr>
              <w:t>unicipales</w:t>
            </w:r>
            <w:r>
              <w:rPr>
                <w:rFonts w:ascii="Century Gothic" w:hAnsi="Century Gothic"/>
                <w:sz w:val="18"/>
                <w:szCs w:val="18"/>
              </w:rPr>
              <w:t xml:space="preserve"> del </w:t>
            </w:r>
            <w:r>
              <w:rPr>
                <w:rFonts w:ascii="Century Gothic" w:hAnsi="Century Gothic"/>
                <w:sz w:val="18"/>
                <w:szCs w:val="18"/>
              </w:rPr>
              <w:lastRenderedPageBreak/>
              <w:t>ejercicio fiscal 2024</w:t>
            </w:r>
            <w:r w:rsidRPr="002D42C2">
              <w:rPr>
                <w:rFonts w:ascii="Century Gothic" w:hAnsi="Century Gothic"/>
                <w:sz w:val="18"/>
                <w:szCs w:val="18"/>
              </w:rPr>
              <w:t>, considerando la eficacia en el cumplimiento de sus metas y la capacidad operativa para la prestación de los servicios, mediante el análisis de su diseño, implementación y resultados, así como la revisión de sus instrumentos de seguimiento, la ejecución de sus recursos y los indicadores de desempeño.</w:t>
            </w:r>
          </w:p>
        </w:tc>
        <w:tc>
          <w:tcPr>
            <w:tcW w:w="1447" w:type="dxa"/>
          </w:tcPr>
          <w:p w14:paraId="4C2946DA" w14:textId="0DBE4D53" w:rsidR="00E939E7" w:rsidRPr="00D601A6" w:rsidRDefault="00E939E7" w:rsidP="00E939E7">
            <w:pPr>
              <w:spacing w:line="276" w:lineRule="auto"/>
              <w:jc w:val="both"/>
              <w:rPr>
                <w:rFonts w:ascii="Century Gothic" w:hAnsi="Century Gothic"/>
                <w:sz w:val="18"/>
                <w:szCs w:val="18"/>
              </w:rPr>
            </w:pPr>
            <w:r w:rsidRPr="005F2C3C">
              <w:rPr>
                <w:rFonts w:ascii="Century Gothic" w:hAnsi="Century Gothic"/>
                <w:sz w:val="18"/>
                <w:szCs w:val="18"/>
              </w:rPr>
              <w:lastRenderedPageBreak/>
              <w:t>Órgano Interno de Control</w:t>
            </w:r>
          </w:p>
        </w:tc>
        <w:tc>
          <w:tcPr>
            <w:tcW w:w="1646" w:type="dxa"/>
          </w:tcPr>
          <w:p w14:paraId="668FE9E4" w14:textId="3EAD80AA" w:rsidR="00E939E7" w:rsidRPr="00D601A6" w:rsidRDefault="00DB1B1F" w:rsidP="00E939E7">
            <w:pPr>
              <w:spacing w:line="276" w:lineRule="auto"/>
              <w:jc w:val="both"/>
              <w:rPr>
                <w:rFonts w:ascii="Century Gothic" w:hAnsi="Century Gothic"/>
                <w:sz w:val="18"/>
                <w:szCs w:val="18"/>
              </w:rPr>
            </w:pPr>
            <w:r w:rsidRPr="00D601A6">
              <w:rPr>
                <w:rFonts w:ascii="Century Gothic" w:hAnsi="Century Gothic"/>
                <w:sz w:val="18"/>
                <w:szCs w:val="18"/>
              </w:rPr>
              <w:t xml:space="preserve">Del </w:t>
            </w:r>
            <w:r>
              <w:rPr>
                <w:rFonts w:ascii="Century Gothic" w:hAnsi="Century Gothic"/>
                <w:sz w:val="18"/>
                <w:szCs w:val="18"/>
              </w:rPr>
              <w:t>abril</w:t>
            </w:r>
            <w:r w:rsidRPr="00D601A6">
              <w:rPr>
                <w:rFonts w:ascii="Century Gothic" w:hAnsi="Century Gothic"/>
                <w:sz w:val="18"/>
                <w:szCs w:val="18"/>
              </w:rPr>
              <w:t xml:space="preserve"> a </w:t>
            </w:r>
            <w:r w:rsidR="007B2433">
              <w:rPr>
                <w:rFonts w:ascii="Century Gothic" w:hAnsi="Century Gothic"/>
                <w:sz w:val="18"/>
                <w:szCs w:val="18"/>
              </w:rPr>
              <w:t>octubre</w:t>
            </w:r>
            <w:r w:rsidRPr="00D601A6">
              <w:rPr>
                <w:rFonts w:ascii="Century Gothic" w:hAnsi="Century Gothic"/>
                <w:sz w:val="18"/>
                <w:szCs w:val="18"/>
              </w:rPr>
              <w:t xml:space="preserve"> del 202</w:t>
            </w:r>
            <w:r>
              <w:rPr>
                <w:rFonts w:ascii="Century Gothic" w:hAnsi="Century Gothic"/>
                <w:sz w:val="18"/>
                <w:szCs w:val="18"/>
              </w:rPr>
              <w:t>5</w:t>
            </w:r>
          </w:p>
        </w:tc>
        <w:tc>
          <w:tcPr>
            <w:tcW w:w="1189" w:type="dxa"/>
          </w:tcPr>
          <w:p w14:paraId="3A0CC1B8" w14:textId="763DD783" w:rsidR="00E939E7" w:rsidRPr="00D601A6" w:rsidRDefault="00E939E7" w:rsidP="00E939E7">
            <w:pPr>
              <w:spacing w:line="276" w:lineRule="auto"/>
              <w:jc w:val="both"/>
              <w:rPr>
                <w:rFonts w:ascii="Century Gothic" w:hAnsi="Century Gothic"/>
                <w:sz w:val="18"/>
                <w:szCs w:val="18"/>
              </w:rPr>
            </w:pPr>
            <w:r w:rsidRPr="00D601A6">
              <w:rPr>
                <w:rFonts w:ascii="Century Gothic" w:hAnsi="Century Gothic"/>
                <w:sz w:val="18"/>
                <w:szCs w:val="18"/>
              </w:rPr>
              <w:t>Externo</w:t>
            </w:r>
          </w:p>
        </w:tc>
      </w:tr>
    </w:tbl>
    <w:p w14:paraId="40005CF8" w14:textId="77777777" w:rsidR="000A50D2" w:rsidRDefault="000A50D2" w:rsidP="00F1756A">
      <w:pPr>
        <w:tabs>
          <w:tab w:val="left" w:pos="840"/>
        </w:tabs>
        <w:spacing w:line="276" w:lineRule="auto"/>
        <w:jc w:val="both"/>
        <w:rPr>
          <w:rFonts w:ascii="Century Gothic" w:hAnsi="Century Gothic"/>
        </w:rPr>
      </w:pPr>
    </w:p>
    <w:p w14:paraId="345BE129" w14:textId="6381100E" w:rsidR="000A50D2" w:rsidRPr="00B248ED" w:rsidRDefault="000A50D2" w:rsidP="00F1756A">
      <w:pPr>
        <w:tabs>
          <w:tab w:val="left" w:pos="840"/>
        </w:tabs>
        <w:spacing w:line="276" w:lineRule="auto"/>
        <w:jc w:val="both"/>
        <w:rPr>
          <w:rFonts w:ascii="Century Gothic" w:hAnsi="Century Gothic"/>
        </w:rPr>
        <w:sectPr w:rsidR="000A50D2" w:rsidRPr="00B248ED" w:rsidSect="00F71A65">
          <w:pgSz w:w="15840" w:h="12240" w:orient="landscape"/>
          <w:pgMar w:top="775" w:right="1418" w:bottom="1701" w:left="1418" w:header="709" w:footer="709" w:gutter="0"/>
          <w:cols w:space="708"/>
          <w:docGrid w:linePitch="360"/>
        </w:sectPr>
      </w:pPr>
    </w:p>
    <w:p w14:paraId="49102615" w14:textId="77777777" w:rsidR="005B464F" w:rsidRPr="006720DB" w:rsidRDefault="005B464F" w:rsidP="00F1756A">
      <w:pPr>
        <w:spacing w:after="0" w:line="276" w:lineRule="auto"/>
        <w:jc w:val="both"/>
        <w:rPr>
          <w:rFonts w:ascii="Century Gothic" w:hAnsi="Century Gothic"/>
        </w:rPr>
      </w:pPr>
    </w:p>
    <w:p w14:paraId="0E0FBB2B" w14:textId="6F826A31" w:rsidR="00FD7B0B" w:rsidRDefault="005B464F" w:rsidP="00891886">
      <w:pPr>
        <w:spacing w:after="0" w:line="276" w:lineRule="auto"/>
        <w:jc w:val="center"/>
        <w:rPr>
          <w:rFonts w:ascii="Century Gothic" w:hAnsi="Century Gothic"/>
          <w:b/>
          <w:bCs/>
        </w:rPr>
      </w:pPr>
      <w:r>
        <w:rPr>
          <w:rFonts w:ascii="Century Gothic" w:hAnsi="Century Gothic"/>
          <w:b/>
          <w:bCs/>
        </w:rPr>
        <w:t>Transitorios</w:t>
      </w:r>
    </w:p>
    <w:p w14:paraId="1D928B31" w14:textId="77777777" w:rsidR="005B464F" w:rsidRDefault="005B464F" w:rsidP="00F1756A">
      <w:pPr>
        <w:spacing w:after="0" w:line="276" w:lineRule="auto"/>
        <w:jc w:val="both"/>
        <w:rPr>
          <w:rFonts w:ascii="Century Gothic" w:hAnsi="Century Gothic"/>
          <w:b/>
          <w:bCs/>
        </w:rPr>
      </w:pPr>
    </w:p>
    <w:p w14:paraId="22C00156" w14:textId="1865BE86" w:rsidR="009A059E" w:rsidRPr="00772808" w:rsidRDefault="00772808" w:rsidP="00772808">
      <w:pPr>
        <w:spacing w:after="0" w:line="276" w:lineRule="auto"/>
        <w:jc w:val="both"/>
        <w:rPr>
          <w:rFonts w:ascii="Century Gothic" w:hAnsi="Century Gothic"/>
        </w:rPr>
      </w:pPr>
      <w:r>
        <w:rPr>
          <w:rFonts w:ascii="Century Gothic" w:hAnsi="Century Gothic"/>
        </w:rPr>
        <w:t xml:space="preserve">PRIMERO. </w:t>
      </w:r>
      <w:r w:rsidR="005B464F" w:rsidRPr="00772808">
        <w:rPr>
          <w:rFonts w:ascii="Century Gothic" w:hAnsi="Century Gothic"/>
        </w:rPr>
        <w:t>El presente Programa Anual de Evolución entrará en vigor el día siguiente a su publicación.</w:t>
      </w:r>
    </w:p>
    <w:p w14:paraId="466B5393" w14:textId="293E58BB" w:rsidR="00A532E9" w:rsidRPr="00772808" w:rsidRDefault="00E45DE7" w:rsidP="00772808">
      <w:pPr>
        <w:spacing w:after="0" w:line="276" w:lineRule="auto"/>
        <w:jc w:val="both"/>
        <w:rPr>
          <w:rFonts w:ascii="Century Gothic" w:hAnsi="Century Gothic"/>
        </w:rPr>
      </w:pPr>
      <w:r>
        <w:rPr>
          <w:rFonts w:ascii="Century Gothic" w:hAnsi="Century Gothic"/>
        </w:rPr>
        <w:t>SEGUNDO</w:t>
      </w:r>
      <w:r w:rsidR="00772808">
        <w:rPr>
          <w:rFonts w:ascii="Century Gothic" w:hAnsi="Century Gothic"/>
        </w:rPr>
        <w:t xml:space="preserve">. </w:t>
      </w:r>
      <w:r w:rsidR="00111929" w:rsidRPr="00772808">
        <w:rPr>
          <w:rFonts w:ascii="Century Gothic" w:hAnsi="Century Gothic"/>
        </w:rPr>
        <w:t>L</w:t>
      </w:r>
      <w:r w:rsidR="00F50C4F" w:rsidRPr="00772808">
        <w:rPr>
          <w:rFonts w:ascii="Century Gothic" w:hAnsi="Century Gothic"/>
        </w:rPr>
        <w:t>os resultados de las evaluaciones practicas a los programas presupuestarios, deberán ser publi</w:t>
      </w:r>
      <w:r w:rsidR="00733527" w:rsidRPr="00772808">
        <w:rPr>
          <w:rFonts w:ascii="Century Gothic" w:hAnsi="Century Gothic"/>
        </w:rPr>
        <w:t xml:space="preserve">cadas </w:t>
      </w:r>
      <w:r w:rsidR="00C25710" w:rsidRPr="00772808">
        <w:rPr>
          <w:rFonts w:ascii="Century Gothic" w:hAnsi="Century Gothic"/>
        </w:rPr>
        <w:t>du</w:t>
      </w:r>
      <w:r w:rsidR="00102646" w:rsidRPr="00772808">
        <w:rPr>
          <w:rFonts w:ascii="Century Gothic" w:hAnsi="Century Gothic"/>
        </w:rPr>
        <w:t xml:space="preserve">rante los primeros 30 días posteriores a su conclusión. </w:t>
      </w:r>
    </w:p>
    <w:p w14:paraId="3FEFA14E" w14:textId="77777777" w:rsidR="00307BCD" w:rsidRDefault="00307BCD" w:rsidP="00F1756A">
      <w:pPr>
        <w:spacing w:after="0" w:line="276" w:lineRule="auto"/>
        <w:jc w:val="both"/>
        <w:rPr>
          <w:rFonts w:ascii="Century Gothic" w:hAnsi="Century Gothic"/>
        </w:rPr>
      </w:pPr>
    </w:p>
    <w:p w14:paraId="0ED8D4C4" w14:textId="77777777" w:rsidR="00F80634" w:rsidRDefault="00F80634" w:rsidP="00F1756A">
      <w:pPr>
        <w:spacing w:after="0" w:line="276" w:lineRule="auto"/>
        <w:jc w:val="both"/>
        <w:rPr>
          <w:rFonts w:ascii="Century Gothic" w:hAnsi="Century Gothic"/>
        </w:rPr>
      </w:pPr>
    </w:p>
    <w:p w14:paraId="1FBA2003" w14:textId="77777777" w:rsidR="00F80634" w:rsidRDefault="00F80634" w:rsidP="00F1756A">
      <w:pPr>
        <w:spacing w:after="0" w:line="276" w:lineRule="auto"/>
        <w:jc w:val="both"/>
        <w:rPr>
          <w:rFonts w:ascii="Century Gothic" w:hAnsi="Century Gothic"/>
        </w:rPr>
      </w:pPr>
    </w:p>
    <w:p w14:paraId="6B2F70EB" w14:textId="77777777" w:rsidR="00307BCD" w:rsidRDefault="00307BCD" w:rsidP="00F1756A">
      <w:pPr>
        <w:spacing w:after="0" w:line="276" w:lineRule="auto"/>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307BCD" w14:paraId="42E0A2AC" w14:textId="77777777" w:rsidTr="00EC737C">
        <w:tc>
          <w:tcPr>
            <w:tcW w:w="8828" w:type="dxa"/>
          </w:tcPr>
          <w:p w14:paraId="318D9318" w14:textId="4131262D" w:rsidR="00307BCD" w:rsidRPr="00EC737C" w:rsidRDefault="00EC737C" w:rsidP="00772808">
            <w:pPr>
              <w:spacing w:line="276" w:lineRule="auto"/>
              <w:jc w:val="center"/>
              <w:rPr>
                <w:rFonts w:ascii="Century Gothic" w:hAnsi="Century Gothic"/>
                <w:b/>
                <w:bCs/>
              </w:rPr>
            </w:pPr>
            <w:r w:rsidRPr="00EC737C">
              <w:rPr>
                <w:rFonts w:ascii="Century Gothic" w:hAnsi="Century Gothic"/>
                <w:b/>
                <w:bCs/>
              </w:rPr>
              <w:t>ATENTAMENTE</w:t>
            </w:r>
          </w:p>
          <w:p w14:paraId="780B1EE8" w14:textId="77777777" w:rsidR="00307BCD" w:rsidRPr="00EC737C" w:rsidRDefault="00307BCD" w:rsidP="00772808">
            <w:pPr>
              <w:spacing w:line="276" w:lineRule="auto"/>
              <w:jc w:val="center"/>
              <w:rPr>
                <w:rFonts w:ascii="Century Gothic" w:hAnsi="Century Gothic"/>
                <w:b/>
                <w:bCs/>
              </w:rPr>
            </w:pPr>
          </w:p>
          <w:p w14:paraId="6B1BC13C" w14:textId="77777777" w:rsidR="00307BCD" w:rsidRDefault="00307BCD" w:rsidP="00772808">
            <w:pPr>
              <w:spacing w:line="276" w:lineRule="auto"/>
              <w:jc w:val="center"/>
              <w:rPr>
                <w:rFonts w:ascii="Century Gothic" w:hAnsi="Century Gothic"/>
                <w:b/>
                <w:bCs/>
              </w:rPr>
            </w:pPr>
          </w:p>
          <w:p w14:paraId="2793B466" w14:textId="7F410A8B" w:rsidR="00EC737C" w:rsidRDefault="00EC737C" w:rsidP="0011034E">
            <w:pPr>
              <w:spacing w:line="276" w:lineRule="auto"/>
              <w:rPr>
                <w:rFonts w:ascii="Century Gothic" w:hAnsi="Century Gothic"/>
                <w:b/>
                <w:bCs/>
              </w:rPr>
            </w:pPr>
          </w:p>
          <w:p w14:paraId="0C4A1120" w14:textId="77777777" w:rsidR="00EC737C" w:rsidRPr="00EC737C" w:rsidRDefault="00EC737C" w:rsidP="00772808">
            <w:pPr>
              <w:spacing w:line="276" w:lineRule="auto"/>
              <w:jc w:val="center"/>
              <w:rPr>
                <w:rFonts w:ascii="Century Gothic" w:hAnsi="Century Gothic"/>
                <w:b/>
                <w:bCs/>
              </w:rPr>
            </w:pPr>
          </w:p>
          <w:p w14:paraId="2E3503D4" w14:textId="6215B063" w:rsidR="00307BCD" w:rsidRPr="00EC737C" w:rsidRDefault="00EC737C" w:rsidP="00772808">
            <w:pPr>
              <w:spacing w:line="276" w:lineRule="auto"/>
              <w:jc w:val="center"/>
              <w:rPr>
                <w:rFonts w:ascii="Century Gothic" w:hAnsi="Century Gothic"/>
                <w:b/>
                <w:bCs/>
              </w:rPr>
            </w:pPr>
            <w:r w:rsidRPr="00EC737C">
              <w:rPr>
                <w:rFonts w:ascii="Century Gothic" w:hAnsi="Century Gothic"/>
                <w:b/>
                <w:bCs/>
              </w:rPr>
              <w:t>_______________________________________________________________</w:t>
            </w:r>
          </w:p>
        </w:tc>
      </w:tr>
      <w:tr w:rsidR="00307BCD" w14:paraId="6D8120D0" w14:textId="77777777" w:rsidTr="00EC737C">
        <w:tc>
          <w:tcPr>
            <w:tcW w:w="8828" w:type="dxa"/>
          </w:tcPr>
          <w:p w14:paraId="3ECD8557" w14:textId="0B8981AB" w:rsidR="00307BCD" w:rsidRPr="00EC737C" w:rsidRDefault="00EC737C" w:rsidP="00E45DE7">
            <w:pPr>
              <w:spacing w:line="276" w:lineRule="auto"/>
              <w:jc w:val="center"/>
              <w:rPr>
                <w:rFonts w:ascii="Century Gothic" w:hAnsi="Century Gothic"/>
                <w:b/>
                <w:bCs/>
              </w:rPr>
            </w:pPr>
            <w:r w:rsidRPr="00EC737C">
              <w:rPr>
                <w:rFonts w:ascii="Century Gothic" w:hAnsi="Century Gothic"/>
                <w:b/>
                <w:bCs/>
              </w:rPr>
              <w:t xml:space="preserve">LIC. </w:t>
            </w:r>
            <w:r w:rsidR="00E45DE7">
              <w:rPr>
                <w:rFonts w:ascii="Century Gothic" w:hAnsi="Century Gothic"/>
                <w:b/>
                <w:bCs/>
              </w:rPr>
              <w:t>NELLY MARTÍNEZ TREJO</w:t>
            </w:r>
            <w:r w:rsidR="004875E2">
              <w:rPr>
                <w:rFonts w:ascii="Century Gothic" w:hAnsi="Century Gothic"/>
                <w:b/>
                <w:bCs/>
              </w:rPr>
              <w:t>.</w:t>
            </w:r>
          </w:p>
        </w:tc>
      </w:tr>
      <w:tr w:rsidR="00307BCD" w14:paraId="32FC8507" w14:textId="77777777" w:rsidTr="00EC737C">
        <w:tc>
          <w:tcPr>
            <w:tcW w:w="8828" w:type="dxa"/>
          </w:tcPr>
          <w:p w14:paraId="1DA7309B" w14:textId="22095AF8" w:rsidR="001F1A5C" w:rsidRPr="00EC737C" w:rsidRDefault="0011034E" w:rsidP="00772808">
            <w:pPr>
              <w:spacing w:line="276" w:lineRule="auto"/>
              <w:jc w:val="center"/>
              <w:rPr>
                <w:rFonts w:ascii="Century Gothic" w:hAnsi="Century Gothic"/>
                <w:b/>
                <w:bCs/>
              </w:rPr>
            </w:pPr>
            <w:r>
              <w:rPr>
                <w:rFonts w:ascii="Century Gothic" w:hAnsi="Century Gothic"/>
                <w:b/>
                <w:bCs/>
              </w:rPr>
              <w:t>TITULAR</w:t>
            </w:r>
            <w:r w:rsidR="001F1A5C" w:rsidRPr="00EC737C">
              <w:rPr>
                <w:rFonts w:ascii="Century Gothic" w:hAnsi="Century Gothic"/>
                <w:b/>
                <w:bCs/>
              </w:rPr>
              <w:t xml:space="preserve"> DEL </w:t>
            </w:r>
            <w:r w:rsidR="005E56C4">
              <w:rPr>
                <w:rFonts w:ascii="Century Gothic" w:hAnsi="Century Gothic"/>
                <w:b/>
                <w:bCs/>
              </w:rPr>
              <w:t>ÓRGANO INTERNO DE CONTROL</w:t>
            </w:r>
            <w:r w:rsidR="001F1A5C" w:rsidRPr="00EC737C">
              <w:rPr>
                <w:rFonts w:ascii="Century Gothic" w:hAnsi="Century Gothic"/>
                <w:b/>
                <w:bCs/>
              </w:rPr>
              <w:t xml:space="preserve"> DEL</w:t>
            </w:r>
          </w:p>
          <w:p w14:paraId="32006F3E" w14:textId="398963E0" w:rsidR="001F1A5C" w:rsidRPr="00EC737C" w:rsidRDefault="001F1A5C" w:rsidP="00772808">
            <w:pPr>
              <w:spacing w:line="276" w:lineRule="auto"/>
              <w:jc w:val="center"/>
              <w:rPr>
                <w:rFonts w:ascii="Century Gothic" w:hAnsi="Century Gothic"/>
                <w:b/>
                <w:bCs/>
              </w:rPr>
            </w:pPr>
            <w:r w:rsidRPr="00EC737C">
              <w:rPr>
                <w:rFonts w:ascii="Century Gothic" w:hAnsi="Century Gothic"/>
                <w:b/>
                <w:bCs/>
              </w:rPr>
              <w:t xml:space="preserve">MUNICIPIO DE </w:t>
            </w:r>
            <w:r w:rsidR="005E56C4">
              <w:rPr>
                <w:rFonts w:ascii="Century Gothic" w:hAnsi="Century Gothic"/>
                <w:b/>
                <w:bCs/>
              </w:rPr>
              <w:t>SAN JUAN DEL RÍO</w:t>
            </w:r>
            <w:r w:rsidR="00EC737C">
              <w:rPr>
                <w:rFonts w:ascii="Century Gothic" w:hAnsi="Century Gothic"/>
                <w:b/>
                <w:bCs/>
              </w:rPr>
              <w:t>, QUERÉTARO</w:t>
            </w:r>
            <w:r w:rsidR="004875E2">
              <w:rPr>
                <w:rFonts w:ascii="Century Gothic" w:hAnsi="Century Gothic"/>
                <w:b/>
                <w:bCs/>
              </w:rPr>
              <w:t>.</w:t>
            </w:r>
          </w:p>
          <w:p w14:paraId="0DD4ACF9" w14:textId="77777777" w:rsidR="00307BCD" w:rsidRPr="00EC737C" w:rsidRDefault="00307BCD" w:rsidP="00772808">
            <w:pPr>
              <w:spacing w:line="276" w:lineRule="auto"/>
              <w:jc w:val="center"/>
              <w:rPr>
                <w:rFonts w:ascii="Century Gothic" w:hAnsi="Century Gothic"/>
                <w:b/>
                <w:bCs/>
              </w:rPr>
            </w:pPr>
          </w:p>
        </w:tc>
      </w:tr>
    </w:tbl>
    <w:p w14:paraId="36F2A19B" w14:textId="1755102D" w:rsidR="001634D7" w:rsidRPr="006720DB" w:rsidRDefault="001634D7" w:rsidP="00F1756A">
      <w:pPr>
        <w:spacing w:after="0" w:line="276" w:lineRule="auto"/>
        <w:jc w:val="both"/>
        <w:rPr>
          <w:rFonts w:ascii="Century Gothic" w:hAnsi="Century Gothic"/>
        </w:rPr>
      </w:pPr>
    </w:p>
    <w:p w14:paraId="337B1365" w14:textId="13A3E33C" w:rsidR="001634D7" w:rsidRPr="006720DB" w:rsidRDefault="001634D7" w:rsidP="00F1756A">
      <w:pPr>
        <w:spacing w:after="0" w:line="276" w:lineRule="auto"/>
        <w:jc w:val="both"/>
        <w:rPr>
          <w:rFonts w:ascii="Century Gothic" w:hAnsi="Century Gothic"/>
        </w:rPr>
      </w:pPr>
    </w:p>
    <w:p w14:paraId="11512A99" w14:textId="71DBF317" w:rsidR="001634D7" w:rsidRPr="006720DB" w:rsidRDefault="001634D7" w:rsidP="00F1756A">
      <w:pPr>
        <w:spacing w:after="0" w:line="276" w:lineRule="auto"/>
        <w:jc w:val="both"/>
        <w:rPr>
          <w:rFonts w:ascii="Century Gothic" w:hAnsi="Century Gothic"/>
        </w:rPr>
      </w:pPr>
    </w:p>
    <w:sectPr w:rsidR="001634D7" w:rsidRPr="006720DB" w:rsidSect="00F71A6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61AC" w14:textId="77777777" w:rsidR="001E311B" w:rsidRDefault="001E311B" w:rsidP="0035350A">
      <w:pPr>
        <w:spacing w:after="0" w:line="240" w:lineRule="auto"/>
      </w:pPr>
      <w:r>
        <w:separator/>
      </w:r>
    </w:p>
  </w:endnote>
  <w:endnote w:type="continuationSeparator" w:id="0">
    <w:p w14:paraId="1F56C7ED" w14:textId="77777777" w:rsidR="001E311B" w:rsidRDefault="001E311B" w:rsidP="0035350A">
      <w:pPr>
        <w:spacing w:after="0" w:line="240" w:lineRule="auto"/>
      </w:pPr>
      <w:r>
        <w:continuationSeparator/>
      </w:r>
    </w:p>
  </w:endnote>
  <w:endnote w:type="continuationNotice" w:id="1">
    <w:p w14:paraId="49C6E899" w14:textId="77777777" w:rsidR="001E311B" w:rsidRDefault="001E3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39740"/>
      <w:docPartObj>
        <w:docPartGallery w:val="Page Numbers (Bottom of Page)"/>
        <w:docPartUnique/>
      </w:docPartObj>
    </w:sdtPr>
    <w:sdtContent>
      <w:p w14:paraId="448FEC30" w14:textId="235C9A80" w:rsidR="0035350A" w:rsidRDefault="0035350A">
        <w:pPr>
          <w:pStyle w:val="Piedepgina"/>
          <w:jc w:val="right"/>
        </w:pPr>
        <w:r>
          <w:fldChar w:fldCharType="begin"/>
        </w:r>
        <w:r>
          <w:instrText>PAGE   \* MERGEFORMAT</w:instrText>
        </w:r>
        <w:r>
          <w:fldChar w:fldCharType="separate"/>
        </w:r>
        <w:r w:rsidR="00397EEA" w:rsidRPr="00397EEA">
          <w:rPr>
            <w:noProof/>
            <w:lang w:val="es-ES"/>
          </w:rPr>
          <w:t>1</w:t>
        </w:r>
        <w:r>
          <w:fldChar w:fldCharType="end"/>
        </w:r>
      </w:p>
    </w:sdtContent>
  </w:sdt>
  <w:p w14:paraId="12D2B836" w14:textId="77777777" w:rsidR="0035350A" w:rsidRDefault="003535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B04D" w14:textId="77777777" w:rsidR="001E311B" w:rsidRDefault="001E311B" w:rsidP="0035350A">
      <w:pPr>
        <w:spacing w:after="0" w:line="240" w:lineRule="auto"/>
      </w:pPr>
      <w:r>
        <w:separator/>
      </w:r>
    </w:p>
  </w:footnote>
  <w:footnote w:type="continuationSeparator" w:id="0">
    <w:p w14:paraId="45D22851" w14:textId="77777777" w:rsidR="001E311B" w:rsidRDefault="001E311B" w:rsidP="0035350A">
      <w:pPr>
        <w:spacing w:after="0" w:line="240" w:lineRule="auto"/>
      </w:pPr>
      <w:r>
        <w:continuationSeparator/>
      </w:r>
    </w:p>
  </w:footnote>
  <w:footnote w:type="continuationNotice" w:id="1">
    <w:p w14:paraId="7A05F616" w14:textId="77777777" w:rsidR="001E311B" w:rsidRDefault="001E3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5B45" w14:textId="03BC30A2" w:rsidR="005E4821" w:rsidRDefault="005E4821">
    <w:pPr>
      <w:pStyle w:val="Encabezado"/>
    </w:pPr>
    <w:r w:rsidRPr="005E4821">
      <w:rPr>
        <w:noProof/>
      </w:rPr>
      <w:drawing>
        <wp:anchor distT="0" distB="0" distL="114300" distR="114300" simplePos="0" relativeHeight="251658240" behindDoc="1" locked="0" layoutInCell="1" allowOverlap="1" wp14:anchorId="6CAA6792" wp14:editId="2A6E89DD">
          <wp:simplePos x="0" y="0"/>
          <wp:positionH relativeFrom="margin">
            <wp:posOffset>1648435</wp:posOffset>
          </wp:positionH>
          <wp:positionV relativeFrom="paragraph">
            <wp:posOffset>-388189</wp:posOffset>
          </wp:positionV>
          <wp:extent cx="2277373" cy="530414"/>
          <wp:effectExtent l="0" t="0" r="8890" b="3175"/>
          <wp:wrapTight wrapText="bothSides">
            <wp:wrapPolygon edited="0">
              <wp:start x="0" y="0"/>
              <wp:lineTo x="0" y="20953"/>
              <wp:lineTo x="21504" y="20953"/>
              <wp:lineTo x="2150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77373" cy="5304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41419"/>
    <w:multiLevelType w:val="hybridMultilevel"/>
    <w:tmpl w:val="96FCD062"/>
    <w:lvl w:ilvl="0" w:tplc="D5B40ED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2B75E0"/>
    <w:multiLevelType w:val="hybridMultilevel"/>
    <w:tmpl w:val="62783428"/>
    <w:lvl w:ilvl="0" w:tplc="080A0011">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1F08BF"/>
    <w:multiLevelType w:val="hybridMultilevel"/>
    <w:tmpl w:val="C1823B12"/>
    <w:lvl w:ilvl="0" w:tplc="6826EF7A">
      <w:start w:val="1"/>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2EEE2AAE"/>
    <w:multiLevelType w:val="hybridMultilevel"/>
    <w:tmpl w:val="F9B67F88"/>
    <w:lvl w:ilvl="0" w:tplc="8D264C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A57F5D"/>
    <w:multiLevelType w:val="hybridMultilevel"/>
    <w:tmpl w:val="39888172"/>
    <w:lvl w:ilvl="0" w:tplc="12D610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486A59"/>
    <w:multiLevelType w:val="hybridMultilevel"/>
    <w:tmpl w:val="94809C5A"/>
    <w:lvl w:ilvl="0" w:tplc="94BA3DA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186743"/>
    <w:multiLevelType w:val="hybridMultilevel"/>
    <w:tmpl w:val="945643B8"/>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50800803"/>
    <w:multiLevelType w:val="hybridMultilevel"/>
    <w:tmpl w:val="37ECCCAE"/>
    <w:lvl w:ilvl="0" w:tplc="BEE29F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D26238"/>
    <w:multiLevelType w:val="hybridMultilevel"/>
    <w:tmpl w:val="062E75C4"/>
    <w:lvl w:ilvl="0" w:tplc="A6BAB186">
      <w:start w:val="199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0415B9"/>
    <w:multiLevelType w:val="hybridMultilevel"/>
    <w:tmpl w:val="EE549210"/>
    <w:lvl w:ilvl="0" w:tplc="F320C3D0">
      <w:start w:val="1"/>
      <w:numFmt w:val="lowerLetter"/>
      <w:lvlText w:val="%1."/>
      <w:lvlJc w:val="left"/>
      <w:pPr>
        <w:ind w:left="1440" w:hanging="360"/>
      </w:pPr>
      <w:rPr>
        <w:rFonts w:asciiTheme="minorHAnsi" w:eastAsiaTheme="minorHAnsi" w:hAnsiTheme="minorHAnsi" w:cstheme="minorBid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6BE5B01"/>
    <w:multiLevelType w:val="hybridMultilevel"/>
    <w:tmpl w:val="D8000392"/>
    <w:lvl w:ilvl="0" w:tplc="D6506C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C01A62"/>
    <w:multiLevelType w:val="hybridMultilevel"/>
    <w:tmpl w:val="BB36B5AC"/>
    <w:lvl w:ilvl="0" w:tplc="33A474F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E6551C"/>
    <w:multiLevelType w:val="hybridMultilevel"/>
    <w:tmpl w:val="DDA46B8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4F21C4"/>
    <w:multiLevelType w:val="hybridMultilevel"/>
    <w:tmpl w:val="57F60A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307862"/>
    <w:multiLevelType w:val="hybridMultilevel"/>
    <w:tmpl w:val="B3CC0D2C"/>
    <w:lvl w:ilvl="0" w:tplc="B768C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CC356C"/>
    <w:multiLevelType w:val="hybridMultilevel"/>
    <w:tmpl w:val="9D7417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5867616">
    <w:abstractNumId w:val="8"/>
  </w:num>
  <w:num w:numId="2" w16cid:durableId="1851337543">
    <w:abstractNumId w:val="13"/>
  </w:num>
  <w:num w:numId="3" w16cid:durableId="1022589637">
    <w:abstractNumId w:val="5"/>
  </w:num>
  <w:num w:numId="4" w16cid:durableId="2125075332">
    <w:abstractNumId w:val="9"/>
  </w:num>
  <w:num w:numId="5" w16cid:durableId="716004286">
    <w:abstractNumId w:val="15"/>
  </w:num>
  <w:num w:numId="6" w16cid:durableId="1112095251">
    <w:abstractNumId w:val="2"/>
  </w:num>
  <w:num w:numId="7" w16cid:durableId="1544173931">
    <w:abstractNumId w:val="11"/>
  </w:num>
  <w:num w:numId="8" w16cid:durableId="732847091">
    <w:abstractNumId w:val="3"/>
  </w:num>
  <w:num w:numId="9" w16cid:durableId="285241661">
    <w:abstractNumId w:val="10"/>
  </w:num>
  <w:num w:numId="10" w16cid:durableId="1604217751">
    <w:abstractNumId w:val="4"/>
  </w:num>
  <w:num w:numId="11" w16cid:durableId="977030671">
    <w:abstractNumId w:val="1"/>
  </w:num>
  <w:num w:numId="12" w16cid:durableId="857812886">
    <w:abstractNumId w:val="12"/>
  </w:num>
  <w:num w:numId="13" w16cid:durableId="825516987">
    <w:abstractNumId w:val="7"/>
  </w:num>
  <w:num w:numId="14" w16cid:durableId="135921946">
    <w:abstractNumId w:val="0"/>
  </w:num>
  <w:num w:numId="15" w16cid:durableId="672998168">
    <w:abstractNumId w:val="14"/>
  </w:num>
  <w:num w:numId="16" w16cid:durableId="1064792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3"/>
    <w:rsid w:val="00000635"/>
    <w:rsid w:val="00000E02"/>
    <w:rsid w:val="000021DB"/>
    <w:rsid w:val="00005D5B"/>
    <w:rsid w:val="000066C8"/>
    <w:rsid w:val="000104E5"/>
    <w:rsid w:val="00012293"/>
    <w:rsid w:val="00020D93"/>
    <w:rsid w:val="000261D7"/>
    <w:rsid w:val="00027939"/>
    <w:rsid w:val="000303D3"/>
    <w:rsid w:val="00032EE3"/>
    <w:rsid w:val="000345EA"/>
    <w:rsid w:val="0004250E"/>
    <w:rsid w:val="0004363C"/>
    <w:rsid w:val="00050242"/>
    <w:rsid w:val="00051375"/>
    <w:rsid w:val="00052F7A"/>
    <w:rsid w:val="00073341"/>
    <w:rsid w:val="00073DF1"/>
    <w:rsid w:val="000741D3"/>
    <w:rsid w:val="00084BA9"/>
    <w:rsid w:val="00085A96"/>
    <w:rsid w:val="000862D2"/>
    <w:rsid w:val="0009554F"/>
    <w:rsid w:val="0009555A"/>
    <w:rsid w:val="000A00C1"/>
    <w:rsid w:val="000A3DEA"/>
    <w:rsid w:val="000A50D2"/>
    <w:rsid w:val="000A628A"/>
    <w:rsid w:val="000B2EA4"/>
    <w:rsid w:val="000D1EA5"/>
    <w:rsid w:val="000D3947"/>
    <w:rsid w:val="000D7B78"/>
    <w:rsid w:val="000E458F"/>
    <w:rsid w:val="000E62D3"/>
    <w:rsid w:val="000F2442"/>
    <w:rsid w:val="000F4CCE"/>
    <w:rsid w:val="000F5EC9"/>
    <w:rsid w:val="001007E9"/>
    <w:rsid w:val="001014A5"/>
    <w:rsid w:val="001014EF"/>
    <w:rsid w:val="00102646"/>
    <w:rsid w:val="00102ABA"/>
    <w:rsid w:val="0011034E"/>
    <w:rsid w:val="00111929"/>
    <w:rsid w:val="00115BA8"/>
    <w:rsid w:val="00120A43"/>
    <w:rsid w:val="00124FBD"/>
    <w:rsid w:val="00135831"/>
    <w:rsid w:val="001373B4"/>
    <w:rsid w:val="00146815"/>
    <w:rsid w:val="0014706E"/>
    <w:rsid w:val="00147DA0"/>
    <w:rsid w:val="001564D0"/>
    <w:rsid w:val="001634D7"/>
    <w:rsid w:val="00163DC8"/>
    <w:rsid w:val="001670A9"/>
    <w:rsid w:val="001709FC"/>
    <w:rsid w:val="001766ED"/>
    <w:rsid w:val="00191D46"/>
    <w:rsid w:val="00194C5F"/>
    <w:rsid w:val="0019771C"/>
    <w:rsid w:val="001A5E86"/>
    <w:rsid w:val="001B3173"/>
    <w:rsid w:val="001C0D74"/>
    <w:rsid w:val="001D0886"/>
    <w:rsid w:val="001D6049"/>
    <w:rsid w:val="001E2542"/>
    <w:rsid w:val="001E279F"/>
    <w:rsid w:val="001E311B"/>
    <w:rsid w:val="001E3AD3"/>
    <w:rsid w:val="001E5796"/>
    <w:rsid w:val="001E6502"/>
    <w:rsid w:val="001E7B12"/>
    <w:rsid w:val="001F1A5C"/>
    <w:rsid w:val="00204A15"/>
    <w:rsid w:val="002072E3"/>
    <w:rsid w:val="0022544C"/>
    <w:rsid w:val="00234107"/>
    <w:rsid w:val="00234C92"/>
    <w:rsid w:val="00247D0B"/>
    <w:rsid w:val="002507DB"/>
    <w:rsid w:val="00250A84"/>
    <w:rsid w:val="00250B7E"/>
    <w:rsid w:val="00254068"/>
    <w:rsid w:val="0027530A"/>
    <w:rsid w:val="00275AA1"/>
    <w:rsid w:val="00276458"/>
    <w:rsid w:val="00281B47"/>
    <w:rsid w:val="00283E95"/>
    <w:rsid w:val="00285CD4"/>
    <w:rsid w:val="00293775"/>
    <w:rsid w:val="002A063F"/>
    <w:rsid w:val="002C6B18"/>
    <w:rsid w:val="002D0CA9"/>
    <w:rsid w:val="002D3D22"/>
    <w:rsid w:val="002D42C2"/>
    <w:rsid w:val="002D544D"/>
    <w:rsid w:val="002D5EF6"/>
    <w:rsid w:val="002E4DC4"/>
    <w:rsid w:val="002E63A7"/>
    <w:rsid w:val="002E74A3"/>
    <w:rsid w:val="002E7AEE"/>
    <w:rsid w:val="002F201C"/>
    <w:rsid w:val="002F3EF6"/>
    <w:rsid w:val="002F5B9F"/>
    <w:rsid w:val="002F6868"/>
    <w:rsid w:val="002F700D"/>
    <w:rsid w:val="002F76F3"/>
    <w:rsid w:val="00300920"/>
    <w:rsid w:val="00300F54"/>
    <w:rsid w:val="003017FA"/>
    <w:rsid w:val="00305080"/>
    <w:rsid w:val="003057FE"/>
    <w:rsid w:val="00307BCD"/>
    <w:rsid w:val="00313085"/>
    <w:rsid w:val="003144D5"/>
    <w:rsid w:val="0031603D"/>
    <w:rsid w:val="00316ED9"/>
    <w:rsid w:val="003206B7"/>
    <w:rsid w:val="00340F8D"/>
    <w:rsid w:val="00345F54"/>
    <w:rsid w:val="003516DC"/>
    <w:rsid w:val="0035350A"/>
    <w:rsid w:val="00357312"/>
    <w:rsid w:val="00367BED"/>
    <w:rsid w:val="00373E0E"/>
    <w:rsid w:val="00385D3B"/>
    <w:rsid w:val="003901DA"/>
    <w:rsid w:val="00394896"/>
    <w:rsid w:val="00397653"/>
    <w:rsid w:val="00397AA4"/>
    <w:rsid w:val="00397EEA"/>
    <w:rsid w:val="003A02EF"/>
    <w:rsid w:val="003A0572"/>
    <w:rsid w:val="003A105F"/>
    <w:rsid w:val="003A71CA"/>
    <w:rsid w:val="003B5011"/>
    <w:rsid w:val="003C1C3A"/>
    <w:rsid w:val="003C2B97"/>
    <w:rsid w:val="003C5635"/>
    <w:rsid w:val="003D3608"/>
    <w:rsid w:val="003D609B"/>
    <w:rsid w:val="003E4E05"/>
    <w:rsid w:val="003E5822"/>
    <w:rsid w:val="003E71BF"/>
    <w:rsid w:val="003F3076"/>
    <w:rsid w:val="003F38AC"/>
    <w:rsid w:val="003F673F"/>
    <w:rsid w:val="00412A5E"/>
    <w:rsid w:val="00420D49"/>
    <w:rsid w:val="004406A9"/>
    <w:rsid w:val="004561A5"/>
    <w:rsid w:val="004722AD"/>
    <w:rsid w:val="00475136"/>
    <w:rsid w:val="004875E2"/>
    <w:rsid w:val="00491DC8"/>
    <w:rsid w:val="00493192"/>
    <w:rsid w:val="004A1186"/>
    <w:rsid w:val="004A2F7A"/>
    <w:rsid w:val="004B0D21"/>
    <w:rsid w:val="004B233E"/>
    <w:rsid w:val="004C148D"/>
    <w:rsid w:val="004C4329"/>
    <w:rsid w:val="004C5C0F"/>
    <w:rsid w:val="004D0A36"/>
    <w:rsid w:val="004D0FA8"/>
    <w:rsid w:val="004D1B1D"/>
    <w:rsid w:val="004E07D7"/>
    <w:rsid w:val="004E1481"/>
    <w:rsid w:val="004E30E5"/>
    <w:rsid w:val="004E39D3"/>
    <w:rsid w:val="004F16D7"/>
    <w:rsid w:val="004F4569"/>
    <w:rsid w:val="00500C62"/>
    <w:rsid w:val="005018B2"/>
    <w:rsid w:val="005037F8"/>
    <w:rsid w:val="005166E2"/>
    <w:rsid w:val="005241F2"/>
    <w:rsid w:val="0053401D"/>
    <w:rsid w:val="00536DB1"/>
    <w:rsid w:val="0055534C"/>
    <w:rsid w:val="00563F1D"/>
    <w:rsid w:val="005803C3"/>
    <w:rsid w:val="00581CDF"/>
    <w:rsid w:val="00585009"/>
    <w:rsid w:val="00585357"/>
    <w:rsid w:val="00585F7C"/>
    <w:rsid w:val="00592CAF"/>
    <w:rsid w:val="00595821"/>
    <w:rsid w:val="005A02ED"/>
    <w:rsid w:val="005B163F"/>
    <w:rsid w:val="005B464F"/>
    <w:rsid w:val="005C076F"/>
    <w:rsid w:val="005C212A"/>
    <w:rsid w:val="005C48F6"/>
    <w:rsid w:val="005D4BA3"/>
    <w:rsid w:val="005E20DE"/>
    <w:rsid w:val="005E466C"/>
    <w:rsid w:val="005E4821"/>
    <w:rsid w:val="005E56C4"/>
    <w:rsid w:val="00611D40"/>
    <w:rsid w:val="00621290"/>
    <w:rsid w:val="00622D99"/>
    <w:rsid w:val="00630AD6"/>
    <w:rsid w:val="006310D7"/>
    <w:rsid w:val="00633403"/>
    <w:rsid w:val="00634856"/>
    <w:rsid w:val="006357CA"/>
    <w:rsid w:val="00642BFE"/>
    <w:rsid w:val="00643BB7"/>
    <w:rsid w:val="006475AC"/>
    <w:rsid w:val="006509BD"/>
    <w:rsid w:val="00650BC8"/>
    <w:rsid w:val="00651A72"/>
    <w:rsid w:val="006567FD"/>
    <w:rsid w:val="006720DB"/>
    <w:rsid w:val="0067528B"/>
    <w:rsid w:val="006A37EE"/>
    <w:rsid w:val="006A51BD"/>
    <w:rsid w:val="006A5E89"/>
    <w:rsid w:val="006A70A4"/>
    <w:rsid w:val="006B1E8D"/>
    <w:rsid w:val="006B7238"/>
    <w:rsid w:val="006C4F06"/>
    <w:rsid w:val="006D0052"/>
    <w:rsid w:val="006D115E"/>
    <w:rsid w:val="006F079A"/>
    <w:rsid w:val="006F6A75"/>
    <w:rsid w:val="00702860"/>
    <w:rsid w:val="0070298D"/>
    <w:rsid w:val="007042E5"/>
    <w:rsid w:val="007046AE"/>
    <w:rsid w:val="00705886"/>
    <w:rsid w:val="00711AC6"/>
    <w:rsid w:val="0071300F"/>
    <w:rsid w:val="00715C82"/>
    <w:rsid w:val="00733527"/>
    <w:rsid w:val="00737238"/>
    <w:rsid w:val="007379EF"/>
    <w:rsid w:val="00740B24"/>
    <w:rsid w:val="007429D0"/>
    <w:rsid w:val="00744D1C"/>
    <w:rsid w:val="007451AF"/>
    <w:rsid w:val="007475F5"/>
    <w:rsid w:val="00754413"/>
    <w:rsid w:val="0076365F"/>
    <w:rsid w:val="00772808"/>
    <w:rsid w:val="00774274"/>
    <w:rsid w:val="00776890"/>
    <w:rsid w:val="00777720"/>
    <w:rsid w:val="0079128E"/>
    <w:rsid w:val="00794148"/>
    <w:rsid w:val="00794F22"/>
    <w:rsid w:val="00795902"/>
    <w:rsid w:val="007A04F3"/>
    <w:rsid w:val="007A1064"/>
    <w:rsid w:val="007A1B75"/>
    <w:rsid w:val="007A4348"/>
    <w:rsid w:val="007A54F1"/>
    <w:rsid w:val="007A6513"/>
    <w:rsid w:val="007B23A4"/>
    <w:rsid w:val="007B2433"/>
    <w:rsid w:val="007B552C"/>
    <w:rsid w:val="007B6ECD"/>
    <w:rsid w:val="007C4FF9"/>
    <w:rsid w:val="007C531C"/>
    <w:rsid w:val="007C6D8A"/>
    <w:rsid w:val="007D5547"/>
    <w:rsid w:val="007D555F"/>
    <w:rsid w:val="007E2EB2"/>
    <w:rsid w:val="007F38EC"/>
    <w:rsid w:val="007F508B"/>
    <w:rsid w:val="007F77BF"/>
    <w:rsid w:val="00810BE5"/>
    <w:rsid w:val="00812EE1"/>
    <w:rsid w:val="00816607"/>
    <w:rsid w:val="008167B9"/>
    <w:rsid w:val="00820F2E"/>
    <w:rsid w:val="00822475"/>
    <w:rsid w:val="00822628"/>
    <w:rsid w:val="00823CC6"/>
    <w:rsid w:val="00826595"/>
    <w:rsid w:val="008271A9"/>
    <w:rsid w:val="00837FEB"/>
    <w:rsid w:val="00840932"/>
    <w:rsid w:val="00844025"/>
    <w:rsid w:val="008476ED"/>
    <w:rsid w:val="00847938"/>
    <w:rsid w:val="00850AFE"/>
    <w:rsid w:val="00851FA1"/>
    <w:rsid w:val="0085419B"/>
    <w:rsid w:val="00864A04"/>
    <w:rsid w:val="00871879"/>
    <w:rsid w:val="0088032D"/>
    <w:rsid w:val="00883CD0"/>
    <w:rsid w:val="008853F7"/>
    <w:rsid w:val="008854AD"/>
    <w:rsid w:val="00885905"/>
    <w:rsid w:val="00887755"/>
    <w:rsid w:val="00891463"/>
    <w:rsid w:val="00891886"/>
    <w:rsid w:val="008A4AD6"/>
    <w:rsid w:val="008A4E75"/>
    <w:rsid w:val="008A6789"/>
    <w:rsid w:val="008B4B18"/>
    <w:rsid w:val="008B633B"/>
    <w:rsid w:val="008D23AC"/>
    <w:rsid w:val="008D40B7"/>
    <w:rsid w:val="008E03C3"/>
    <w:rsid w:val="008F1B8E"/>
    <w:rsid w:val="008F28FE"/>
    <w:rsid w:val="008F777A"/>
    <w:rsid w:val="008F7CE5"/>
    <w:rsid w:val="009069BF"/>
    <w:rsid w:val="009134C6"/>
    <w:rsid w:val="00921B04"/>
    <w:rsid w:val="00924D39"/>
    <w:rsid w:val="00935F22"/>
    <w:rsid w:val="00940A2B"/>
    <w:rsid w:val="009529B7"/>
    <w:rsid w:val="00966060"/>
    <w:rsid w:val="009742C3"/>
    <w:rsid w:val="00974AEB"/>
    <w:rsid w:val="0098003A"/>
    <w:rsid w:val="00982EA0"/>
    <w:rsid w:val="00985694"/>
    <w:rsid w:val="00987687"/>
    <w:rsid w:val="00987E61"/>
    <w:rsid w:val="00992400"/>
    <w:rsid w:val="009A059E"/>
    <w:rsid w:val="009B033F"/>
    <w:rsid w:val="009B33C6"/>
    <w:rsid w:val="009B3535"/>
    <w:rsid w:val="009B457E"/>
    <w:rsid w:val="009B4A03"/>
    <w:rsid w:val="009B5017"/>
    <w:rsid w:val="009C0CA7"/>
    <w:rsid w:val="009C1490"/>
    <w:rsid w:val="009C212B"/>
    <w:rsid w:val="009C31FD"/>
    <w:rsid w:val="009C4877"/>
    <w:rsid w:val="009D387D"/>
    <w:rsid w:val="009D42A7"/>
    <w:rsid w:val="009F5173"/>
    <w:rsid w:val="00A0232B"/>
    <w:rsid w:val="00A10647"/>
    <w:rsid w:val="00A12A93"/>
    <w:rsid w:val="00A12AD8"/>
    <w:rsid w:val="00A16D11"/>
    <w:rsid w:val="00A2127E"/>
    <w:rsid w:val="00A22F0A"/>
    <w:rsid w:val="00A2401E"/>
    <w:rsid w:val="00A27EC0"/>
    <w:rsid w:val="00A305C1"/>
    <w:rsid w:val="00A30681"/>
    <w:rsid w:val="00A37550"/>
    <w:rsid w:val="00A42B67"/>
    <w:rsid w:val="00A51C0E"/>
    <w:rsid w:val="00A532E9"/>
    <w:rsid w:val="00A53D17"/>
    <w:rsid w:val="00A53F4B"/>
    <w:rsid w:val="00A57043"/>
    <w:rsid w:val="00A70679"/>
    <w:rsid w:val="00A708E4"/>
    <w:rsid w:val="00A7126A"/>
    <w:rsid w:val="00A73982"/>
    <w:rsid w:val="00A82C67"/>
    <w:rsid w:val="00A83B5F"/>
    <w:rsid w:val="00A90EA4"/>
    <w:rsid w:val="00A920E6"/>
    <w:rsid w:val="00A923D4"/>
    <w:rsid w:val="00A92C44"/>
    <w:rsid w:val="00AA5055"/>
    <w:rsid w:val="00AA65E7"/>
    <w:rsid w:val="00AB339D"/>
    <w:rsid w:val="00AB66BB"/>
    <w:rsid w:val="00AC7667"/>
    <w:rsid w:val="00AE1E24"/>
    <w:rsid w:val="00AE5DD0"/>
    <w:rsid w:val="00AF5159"/>
    <w:rsid w:val="00AF726A"/>
    <w:rsid w:val="00B05582"/>
    <w:rsid w:val="00B05B5C"/>
    <w:rsid w:val="00B1136B"/>
    <w:rsid w:val="00B14EC1"/>
    <w:rsid w:val="00B15992"/>
    <w:rsid w:val="00B163F1"/>
    <w:rsid w:val="00B17B01"/>
    <w:rsid w:val="00B2134F"/>
    <w:rsid w:val="00B219BC"/>
    <w:rsid w:val="00B248ED"/>
    <w:rsid w:val="00B25CEA"/>
    <w:rsid w:val="00B2630F"/>
    <w:rsid w:val="00B27B73"/>
    <w:rsid w:val="00B31E65"/>
    <w:rsid w:val="00B32F8F"/>
    <w:rsid w:val="00B354FE"/>
    <w:rsid w:val="00B41FC8"/>
    <w:rsid w:val="00B51A0A"/>
    <w:rsid w:val="00B601DD"/>
    <w:rsid w:val="00B70981"/>
    <w:rsid w:val="00B70FCA"/>
    <w:rsid w:val="00B72039"/>
    <w:rsid w:val="00B72E98"/>
    <w:rsid w:val="00B73874"/>
    <w:rsid w:val="00B823C5"/>
    <w:rsid w:val="00B8616E"/>
    <w:rsid w:val="00B906E0"/>
    <w:rsid w:val="00BA3CBE"/>
    <w:rsid w:val="00BB190B"/>
    <w:rsid w:val="00BB642A"/>
    <w:rsid w:val="00BB68CC"/>
    <w:rsid w:val="00BD011D"/>
    <w:rsid w:val="00BD4853"/>
    <w:rsid w:val="00BE0A6B"/>
    <w:rsid w:val="00BE2137"/>
    <w:rsid w:val="00BE47F0"/>
    <w:rsid w:val="00BF24EB"/>
    <w:rsid w:val="00BF4A54"/>
    <w:rsid w:val="00BF70E7"/>
    <w:rsid w:val="00C00799"/>
    <w:rsid w:val="00C02A63"/>
    <w:rsid w:val="00C03E12"/>
    <w:rsid w:val="00C07093"/>
    <w:rsid w:val="00C108C2"/>
    <w:rsid w:val="00C22836"/>
    <w:rsid w:val="00C25710"/>
    <w:rsid w:val="00C25E77"/>
    <w:rsid w:val="00C41571"/>
    <w:rsid w:val="00C445C5"/>
    <w:rsid w:val="00C4524B"/>
    <w:rsid w:val="00C467A0"/>
    <w:rsid w:val="00C50A98"/>
    <w:rsid w:val="00C548FD"/>
    <w:rsid w:val="00C5584D"/>
    <w:rsid w:val="00C631E4"/>
    <w:rsid w:val="00C66B23"/>
    <w:rsid w:val="00C75C42"/>
    <w:rsid w:val="00C803D6"/>
    <w:rsid w:val="00C80EB2"/>
    <w:rsid w:val="00C813F2"/>
    <w:rsid w:val="00C8294D"/>
    <w:rsid w:val="00C85392"/>
    <w:rsid w:val="00C85740"/>
    <w:rsid w:val="00C86EFA"/>
    <w:rsid w:val="00C943BA"/>
    <w:rsid w:val="00C97DD1"/>
    <w:rsid w:val="00CA1E06"/>
    <w:rsid w:val="00CA28E8"/>
    <w:rsid w:val="00CA41E0"/>
    <w:rsid w:val="00CB3AE9"/>
    <w:rsid w:val="00CB737F"/>
    <w:rsid w:val="00CC10DC"/>
    <w:rsid w:val="00CD1143"/>
    <w:rsid w:val="00CD1B81"/>
    <w:rsid w:val="00CD2535"/>
    <w:rsid w:val="00CD77DB"/>
    <w:rsid w:val="00CE0DF4"/>
    <w:rsid w:val="00CE4F0F"/>
    <w:rsid w:val="00CF4E84"/>
    <w:rsid w:val="00CF7021"/>
    <w:rsid w:val="00D04759"/>
    <w:rsid w:val="00D116F0"/>
    <w:rsid w:val="00D17B35"/>
    <w:rsid w:val="00D205C3"/>
    <w:rsid w:val="00D27F80"/>
    <w:rsid w:val="00D327EA"/>
    <w:rsid w:val="00D339C9"/>
    <w:rsid w:val="00D52553"/>
    <w:rsid w:val="00D525D2"/>
    <w:rsid w:val="00D532A6"/>
    <w:rsid w:val="00D601A6"/>
    <w:rsid w:val="00D6235D"/>
    <w:rsid w:val="00D64720"/>
    <w:rsid w:val="00D704DB"/>
    <w:rsid w:val="00D71901"/>
    <w:rsid w:val="00D87F85"/>
    <w:rsid w:val="00D92221"/>
    <w:rsid w:val="00D930A3"/>
    <w:rsid w:val="00D967E4"/>
    <w:rsid w:val="00DB1B1F"/>
    <w:rsid w:val="00DB33E7"/>
    <w:rsid w:val="00DB4186"/>
    <w:rsid w:val="00DC04C0"/>
    <w:rsid w:val="00DC1539"/>
    <w:rsid w:val="00DC3EAB"/>
    <w:rsid w:val="00DC43C7"/>
    <w:rsid w:val="00DC687A"/>
    <w:rsid w:val="00DC720D"/>
    <w:rsid w:val="00DC7873"/>
    <w:rsid w:val="00DD28D3"/>
    <w:rsid w:val="00DE0680"/>
    <w:rsid w:val="00DF043C"/>
    <w:rsid w:val="00DF3478"/>
    <w:rsid w:val="00E03667"/>
    <w:rsid w:val="00E064EE"/>
    <w:rsid w:val="00E11E7D"/>
    <w:rsid w:val="00E13316"/>
    <w:rsid w:val="00E1431D"/>
    <w:rsid w:val="00E16CE2"/>
    <w:rsid w:val="00E17382"/>
    <w:rsid w:val="00E20FE7"/>
    <w:rsid w:val="00E2303E"/>
    <w:rsid w:val="00E24A67"/>
    <w:rsid w:val="00E271EC"/>
    <w:rsid w:val="00E30D84"/>
    <w:rsid w:val="00E31CD9"/>
    <w:rsid w:val="00E37EB4"/>
    <w:rsid w:val="00E400E4"/>
    <w:rsid w:val="00E41BE7"/>
    <w:rsid w:val="00E42B15"/>
    <w:rsid w:val="00E45DE7"/>
    <w:rsid w:val="00E548B1"/>
    <w:rsid w:val="00E56626"/>
    <w:rsid w:val="00E62E0C"/>
    <w:rsid w:val="00E82943"/>
    <w:rsid w:val="00E8407A"/>
    <w:rsid w:val="00E93959"/>
    <w:rsid w:val="00E939E7"/>
    <w:rsid w:val="00E95008"/>
    <w:rsid w:val="00EA24F8"/>
    <w:rsid w:val="00EA2B34"/>
    <w:rsid w:val="00EA4212"/>
    <w:rsid w:val="00EA663A"/>
    <w:rsid w:val="00EA7F8D"/>
    <w:rsid w:val="00EB052B"/>
    <w:rsid w:val="00EB0BF6"/>
    <w:rsid w:val="00EB0E77"/>
    <w:rsid w:val="00EB3BA8"/>
    <w:rsid w:val="00EC04DD"/>
    <w:rsid w:val="00EC3B28"/>
    <w:rsid w:val="00EC737C"/>
    <w:rsid w:val="00ED087B"/>
    <w:rsid w:val="00EE06AE"/>
    <w:rsid w:val="00EE0B67"/>
    <w:rsid w:val="00EE1978"/>
    <w:rsid w:val="00EE25DF"/>
    <w:rsid w:val="00EE41FE"/>
    <w:rsid w:val="00EF2699"/>
    <w:rsid w:val="00EF33DC"/>
    <w:rsid w:val="00EF5197"/>
    <w:rsid w:val="00F002D4"/>
    <w:rsid w:val="00F12235"/>
    <w:rsid w:val="00F1756A"/>
    <w:rsid w:val="00F20CD9"/>
    <w:rsid w:val="00F43AC3"/>
    <w:rsid w:val="00F50C4F"/>
    <w:rsid w:val="00F534AA"/>
    <w:rsid w:val="00F53601"/>
    <w:rsid w:val="00F54A77"/>
    <w:rsid w:val="00F70948"/>
    <w:rsid w:val="00F71A65"/>
    <w:rsid w:val="00F73DD3"/>
    <w:rsid w:val="00F73FA6"/>
    <w:rsid w:val="00F770D3"/>
    <w:rsid w:val="00F80187"/>
    <w:rsid w:val="00F80634"/>
    <w:rsid w:val="00F81CD9"/>
    <w:rsid w:val="00F83C7D"/>
    <w:rsid w:val="00F9139A"/>
    <w:rsid w:val="00F91C46"/>
    <w:rsid w:val="00F96149"/>
    <w:rsid w:val="00FB1E7C"/>
    <w:rsid w:val="00FC5750"/>
    <w:rsid w:val="00FC5F35"/>
    <w:rsid w:val="00FC7A93"/>
    <w:rsid w:val="00FD1657"/>
    <w:rsid w:val="00FD5844"/>
    <w:rsid w:val="00FD7836"/>
    <w:rsid w:val="00FD7B0B"/>
    <w:rsid w:val="00FE612D"/>
    <w:rsid w:val="00FE7663"/>
    <w:rsid w:val="00FF486B"/>
    <w:rsid w:val="00FF69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6FB8"/>
  <w15:chartTrackingRefBased/>
  <w15:docId w15:val="{C190F928-52A4-40DC-A06B-65C8A8E3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22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293"/>
    <w:rPr>
      <w:rFonts w:ascii="Segoe UI" w:hAnsi="Segoe UI" w:cs="Segoe UI"/>
      <w:sz w:val="18"/>
      <w:szCs w:val="18"/>
    </w:rPr>
  </w:style>
  <w:style w:type="paragraph" w:styleId="Prrafodelista">
    <w:name w:val="List Paragraph"/>
    <w:basedOn w:val="Normal"/>
    <w:uiPriority w:val="34"/>
    <w:qFormat/>
    <w:rsid w:val="002D0CA9"/>
    <w:pPr>
      <w:ind w:left="720"/>
      <w:contextualSpacing/>
    </w:pPr>
  </w:style>
  <w:style w:type="table" w:styleId="Tablaconcuadrcula">
    <w:name w:val="Table Grid"/>
    <w:basedOn w:val="Tablanormal"/>
    <w:uiPriority w:val="39"/>
    <w:rsid w:val="006A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535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50A"/>
  </w:style>
  <w:style w:type="paragraph" w:styleId="Piedepgina">
    <w:name w:val="footer"/>
    <w:basedOn w:val="Normal"/>
    <w:link w:val="PiedepginaCar"/>
    <w:uiPriority w:val="99"/>
    <w:unhideWhenUsed/>
    <w:rsid w:val="003535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1185</TotalTime>
  <Pages>7</Pages>
  <Words>1829</Words>
  <Characters>10063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dc:creator>
  <cp:keywords/>
  <dc:description/>
  <cp:lastModifiedBy>saul legorreta martinez</cp:lastModifiedBy>
  <cp:revision>48</cp:revision>
  <dcterms:created xsi:type="dcterms:W3CDTF">2024-01-03T22:32:00Z</dcterms:created>
  <dcterms:modified xsi:type="dcterms:W3CDTF">2025-04-01T17:06:00Z</dcterms:modified>
</cp:coreProperties>
</file>